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AD26" w14:textId="037DEAFC" w:rsidR="006B6396" w:rsidRDefault="006B6396" w:rsidP="00B01595">
      <w:pPr>
        <w:pStyle w:val="Default"/>
        <w:jc w:val="center"/>
        <w:rPr>
          <w:b/>
          <w:sz w:val="22"/>
          <w:szCs w:val="22"/>
        </w:rPr>
      </w:pPr>
      <w:r w:rsidRPr="006B6396">
        <w:rPr>
          <w:b/>
          <w:noProof/>
          <w:sz w:val="22"/>
          <w:szCs w:val="22"/>
        </w:rPr>
        <w:drawing>
          <wp:inline distT="0" distB="0" distL="0" distR="0" wp14:anchorId="10AC7E59" wp14:editId="4477C3AB">
            <wp:extent cx="22225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28563" w14:textId="77777777" w:rsidR="006B6396" w:rsidRDefault="006B6396" w:rsidP="00B01595">
      <w:pPr>
        <w:pStyle w:val="Default"/>
        <w:jc w:val="center"/>
        <w:rPr>
          <w:b/>
          <w:sz w:val="22"/>
          <w:szCs w:val="22"/>
        </w:rPr>
      </w:pPr>
    </w:p>
    <w:p w14:paraId="31340719" w14:textId="419A5ED2" w:rsidR="006B6396" w:rsidRDefault="006B6396" w:rsidP="00B0159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of Veterinary Medicine</w:t>
      </w:r>
    </w:p>
    <w:p w14:paraId="340125A5" w14:textId="77777777" w:rsidR="006B6396" w:rsidRDefault="006B6396" w:rsidP="00B01595">
      <w:pPr>
        <w:pStyle w:val="Default"/>
        <w:jc w:val="center"/>
        <w:rPr>
          <w:b/>
          <w:sz w:val="22"/>
          <w:szCs w:val="22"/>
        </w:rPr>
      </w:pPr>
    </w:p>
    <w:p w14:paraId="73A3DFDA" w14:textId="4ECCD0C1" w:rsidR="00B01595" w:rsidRPr="001644CE" w:rsidRDefault="00B01595" w:rsidP="00B01595">
      <w:pPr>
        <w:pStyle w:val="Default"/>
        <w:jc w:val="center"/>
        <w:rPr>
          <w:b/>
          <w:sz w:val="22"/>
          <w:szCs w:val="22"/>
        </w:rPr>
      </w:pPr>
      <w:r w:rsidRPr="001644CE">
        <w:rPr>
          <w:b/>
          <w:sz w:val="22"/>
          <w:szCs w:val="22"/>
        </w:rPr>
        <w:t xml:space="preserve">Veterinary Medical Sciences </w:t>
      </w:r>
      <w:r w:rsidR="00302CF3">
        <w:rPr>
          <w:b/>
          <w:sz w:val="22"/>
          <w:szCs w:val="22"/>
        </w:rPr>
        <w:t xml:space="preserve">Graduate Student </w:t>
      </w:r>
      <w:r w:rsidRPr="001644CE">
        <w:rPr>
          <w:b/>
          <w:sz w:val="22"/>
          <w:szCs w:val="22"/>
        </w:rPr>
        <w:t>Funding Policy</w:t>
      </w:r>
    </w:p>
    <w:p w14:paraId="253C237C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F2A1E3F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5DD71454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tbl>
      <w:tblPr>
        <w:tblpPr w:leftFromText="180" w:rightFromText="180" w:vertAnchor="text" w:tblpX="100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708"/>
      </w:tblGrid>
      <w:tr w:rsidR="006B6396" w:rsidRPr="00E77CF0" w14:paraId="12FA735E" w14:textId="77777777" w:rsidTr="00B61952">
        <w:tc>
          <w:tcPr>
            <w:tcW w:w="4140" w:type="dxa"/>
          </w:tcPr>
          <w:p w14:paraId="688D0451" w14:textId="77777777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Classification</w:t>
            </w:r>
          </w:p>
          <w:p w14:paraId="04EB9875" w14:textId="77777777" w:rsidR="006B6396" w:rsidRPr="006B6396" w:rsidRDefault="006B6396" w:rsidP="00B61952">
            <w:pPr>
              <w:tabs>
                <w:tab w:val="left" w:pos="720"/>
                <w:tab w:val="left" w:pos="1200"/>
              </w:tabs>
              <w:ind w:left="268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Graduate Education</w:t>
            </w:r>
          </w:p>
          <w:p w14:paraId="5D4482BD" w14:textId="77777777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dxa"/>
            <w:vMerge w:val="restart"/>
          </w:tcPr>
          <w:p w14:paraId="28587C61" w14:textId="77777777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 xml:space="preserve"> Table of Contents</w:t>
            </w:r>
          </w:p>
          <w:p w14:paraId="65A86868" w14:textId="77777777" w:rsidR="006B6396" w:rsidRPr="006B6396" w:rsidRDefault="006B6396" w:rsidP="00B61952">
            <w:pPr>
              <w:tabs>
                <w:tab w:val="left" w:pos="2082"/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</w:p>
          <w:p w14:paraId="08BA4F73" w14:textId="77777777" w:rsidR="006B6396" w:rsidRPr="006B6396" w:rsidRDefault="006B6396" w:rsidP="00B61952">
            <w:pPr>
              <w:tabs>
                <w:tab w:val="left" w:pos="2082"/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Purpose</w:t>
            </w:r>
            <w:r w:rsidRPr="006B6396">
              <w:rPr>
                <w:rFonts w:asciiTheme="minorHAnsi" w:hAnsiTheme="minorHAnsi"/>
                <w:sz w:val="22"/>
                <w:szCs w:val="22"/>
              </w:rPr>
              <w:tab/>
            </w:r>
            <w:r w:rsidRPr="006B6396">
              <w:rPr>
                <w:rFonts w:asciiTheme="minorHAnsi" w:hAnsiTheme="minorHAnsi"/>
                <w:sz w:val="22"/>
                <w:szCs w:val="22"/>
              </w:rPr>
              <w:tab/>
              <w:t xml:space="preserve"> 1</w:t>
            </w:r>
          </w:p>
          <w:p w14:paraId="6E86B74E" w14:textId="77777777" w:rsidR="006B6396" w:rsidRPr="006B6396" w:rsidRDefault="006B6396" w:rsidP="00B61952">
            <w:pPr>
              <w:tabs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Scope</w:t>
            </w:r>
            <w:r w:rsidRPr="006B6396">
              <w:rPr>
                <w:rFonts w:asciiTheme="minorHAnsi" w:hAnsiTheme="minorHAnsi"/>
                <w:sz w:val="22"/>
                <w:szCs w:val="22"/>
              </w:rPr>
              <w:tab/>
              <w:t xml:space="preserve"> 2</w:t>
            </w:r>
          </w:p>
          <w:p w14:paraId="413324F2" w14:textId="77777777" w:rsidR="006B6396" w:rsidRPr="006B6396" w:rsidRDefault="006B6396" w:rsidP="00B61952">
            <w:pPr>
              <w:tabs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Definitions</w:t>
            </w:r>
            <w:r w:rsidRPr="006B6396">
              <w:rPr>
                <w:rFonts w:asciiTheme="minorHAnsi" w:hAnsiTheme="minorHAnsi"/>
                <w:sz w:val="22"/>
                <w:szCs w:val="22"/>
              </w:rPr>
              <w:tab/>
              <w:t xml:space="preserve"> 3</w:t>
            </w:r>
          </w:p>
          <w:p w14:paraId="621D2A42" w14:textId="77777777" w:rsidR="006B6396" w:rsidRPr="006B6396" w:rsidRDefault="006B6396" w:rsidP="00B61952">
            <w:pPr>
              <w:tabs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Policy Statement</w:t>
            </w:r>
            <w:r w:rsidRPr="006B6396">
              <w:rPr>
                <w:rFonts w:asciiTheme="minorHAnsi" w:hAnsiTheme="minorHAnsi"/>
                <w:sz w:val="22"/>
                <w:szCs w:val="22"/>
              </w:rPr>
              <w:tab/>
              <w:t xml:space="preserve"> 4</w:t>
            </w:r>
          </w:p>
          <w:p w14:paraId="13EB17B9" w14:textId="77777777" w:rsidR="006B6396" w:rsidRDefault="006B6396" w:rsidP="00B61952">
            <w:pPr>
              <w:tabs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History</w:t>
            </w:r>
            <w:r w:rsidRPr="006B6396">
              <w:rPr>
                <w:rFonts w:asciiTheme="minorHAnsi" w:hAnsiTheme="minorHAnsi"/>
                <w:sz w:val="22"/>
                <w:szCs w:val="22"/>
              </w:rPr>
              <w:tab/>
              <w:t xml:space="preserve"> 5</w:t>
            </w:r>
          </w:p>
          <w:p w14:paraId="36BD5E19" w14:textId="77777777" w:rsidR="00E111E6" w:rsidRPr="006B6396" w:rsidRDefault="00E111E6" w:rsidP="00B61952">
            <w:pPr>
              <w:tabs>
                <w:tab w:val="left" w:pos="2412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</w:p>
          <w:p w14:paraId="53E1A818" w14:textId="77777777" w:rsidR="006B6396" w:rsidRPr="00E77CF0" w:rsidRDefault="006B6396" w:rsidP="00E111E6">
            <w:pPr>
              <w:tabs>
                <w:tab w:val="left" w:pos="2507"/>
              </w:tabs>
              <w:ind w:left="432"/>
              <w:rPr>
                <w:sz w:val="22"/>
                <w:szCs w:val="22"/>
              </w:rPr>
            </w:pPr>
          </w:p>
        </w:tc>
      </w:tr>
      <w:tr w:rsidR="006B6396" w:rsidRPr="00E77CF0" w14:paraId="02602189" w14:textId="77777777" w:rsidTr="00B61952">
        <w:tc>
          <w:tcPr>
            <w:tcW w:w="4140" w:type="dxa"/>
          </w:tcPr>
          <w:p w14:paraId="2D289E0A" w14:textId="77777777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Approval Authority</w:t>
            </w:r>
          </w:p>
          <w:p w14:paraId="0A43A4A7" w14:textId="77777777" w:rsidR="006B6396" w:rsidRPr="006B6396" w:rsidRDefault="006B6396" w:rsidP="00B61952">
            <w:pPr>
              <w:ind w:left="268"/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UCVM Faculty Council</w:t>
            </w:r>
          </w:p>
          <w:p w14:paraId="601044ED" w14:textId="77777777" w:rsidR="006B6396" w:rsidRPr="006B6396" w:rsidRDefault="006B6396" w:rsidP="00B61952">
            <w:pPr>
              <w:ind w:left="268"/>
              <w:rPr>
                <w:rFonts w:asciiTheme="minorHAnsi" w:hAnsiTheme="minorHAnsi"/>
                <w:sz w:val="22"/>
                <w:szCs w:val="22"/>
              </w:rPr>
            </w:pPr>
          </w:p>
          <w:p w14:paraId="6B312305" w14:textId="77777777" w:rsidR="006B6396" w:rsidRPr="006B6396" w:rsidRDefault="006B6396" w:rsidP="00B61952">
            <w:pPr>
              <w:ind w:left="2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dxa"/>
            <w:vMerge/>
          </w:tcPr>
          <w:p w14:paraId="5719585F" w14:textId="77777777" w:rsidR="006B6396" w:rsidRPr="00E77CF0" w:rsidRDefault="006B6396" w:rsidP="00B61952">
            <w:pPr>
              <w:rPr>
                <w:b/>
              </w:rPr>
            </w:pPr>
          </w:p>
        </w:tc>
      </w:tr>
      <w:tr w:rsidR="006B6396" w:rsidRPr="00E77CF0" w14:paraId="5AB33ACE" w14:textId="77777777" w:rsidTr="00B61952">
        <w:tc>
          <w:tcPr>
            <w:tcW w:w="4140" w:type="dxa"/>
          </w:tcPr>
          <w:p w14:paraId="3CF34343" w14:textId="77777777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Implementation Authority</w:t>
            </w:r>
          </w:p>
          <w:p w14:paraId="5B68278C" w14:textId="3E2907F8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Associate Dean, Graduate Education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Internationalization</w:t>
            </w:r>
          </w:p>
          <w:p w14:paraId="45C21E45" w14:textId="77777777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dxa"/>
            <w:vMerge/>
          </w:tcPr>
          <w:p w14:paraId="431012EF" w14:textId="77777777" w:rsidR="006B6396" w:rsidRPr="00E77CF0" w:rsidRDefault="006B6396" w:rsidP="00B61952">
            <w:pPr>
              <w:rPr>
                <w:b/>
              </w:rPr>
            </w:pPr>
          </w:p>
        </w:tc>
      </w:tr>
      <w:tr w:rsidR="006B6396" w:rsidRPr="00E77CF0" w14:paraId="4097AFBF" w14:textId="77777777" w:rsidTr="00B61952">
        <w:tc>
          <w:tcPr>
            <w:tcW w:w="4140" w:type="dxa"/>
          </w:tcPr>
          <w:p w14:paraId="28E3E4D4" w14:textId="3FA7E132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Effective 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6B05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3FB1">
              <w:rPr>
                <w:rFonts w:asciiTheme="minorHAnsi" w:hAnsiTheme="minorHAnsi"/>
                <w:sz w:val="22"/>
                <w:szCs w:val="22"/>
              </w:rPr>
              <w:t>February 3</w:t>
            </w:r>
            <w:r w:rsidR="006B05EF">
              <w:rPr>
                <w:rFonts w:asciiTheme="minorHAnsi" w:hAnsiTheme="minorHAnsi"/>
                <w:sz w:val="22"/>
                <w:szCs w:val="22"/>
              </w:rPr>
              <w:t>, 20</w:t>
            </w:r>
            <w:r w:rsidR="00433FB1">
              <w:rPr>
                <w:rFonts w:asciiTheme="minorHAnsi" w:hAnsiTheme="minorHAnsi"/>
                <w:sz w:val="22"/>
                <w:szCs w:val="22"/>
              </w:rPr>
              <w:t>22</w:t>
            </w:r>
          </w:p>
          <w:p w14:paraId="49CE5362" w14:textId="472384E4" w:rsidR="006B6396" w:rsidRPr="006B6396" w:rsidRDefault="006B6396" w:rsidP="006B6396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708" w:type="dxa"/>
            <w:vMerge/>
          </w:tcPr>
          <w:p w14:paraId="0B61C38D" w14:textId="77777777" w:rsidR="006B6396" w:rsidRPr="00E77CF0" w:rsidRDefault="006B6396" w:rsidP="00B61952">
            <w:pPr>
              <w:rPr>
                <w:b/>
              </w:rPr>
            </w:pPr>
          </w:p>
        </w:tc>
      </w:tr>
      <w:tr w:rsidR="006B6396" w:rsidRPr="00E77CF0" w14:paraId="78197AAA" w14:textId="77777777" w:rsidTr="00B61952">
        <w:tc>
          <w:tcPr>
            <w:tcW w:w="4140" w:type="dxa"/>
          </w:tcPr>
          <w:p w14:paraId="163DFCB8" w14:textId="02786B63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>Latest Revision</w:t>
            </w:r>
            <w:r w:rsidR="002F7A24">
              <w:rPr>
                <w:rFonts w:asciiTheme="minorHAnsi" w:hAnsiTheme="minorHAnsi"/>
                <w:sz w:val="22"/>
                <w:szCs w:val="22"/>
              </w:rPr>
              <w:t>:</w:t>
            </w:r>
            <w:r w:rsidR="00C85A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3FB1">
              <w:rPr>
                <w:rFonts w:asciiTheme="minorHAnsi" w:hAnsiTheme="minorHAnsi"/>
                <w:sz w:val="22"/>
                <w:szCs w:val="22"/>
              </w:rPr>
              <w:t>January 11</w:t>
            </w:r>
            <w:r w:rsidR="002F7A24">
              <w:rPr>
                <w:rFonts w:asciiTheme="minorHAnsi" w:hAnsiTheme="minorHAnsi"/>
                <w:sz w:val="22"/>
                <w:szCs w:val="22"/>
              </w:rPr>
              <w:t>, 20</w:t>
            </w:r>
            <w:r w:rsidR="00433FB1">
              <w:rPr>
                <w:rFonts w:asciiTheme="minorHAnsi" w:hAnsiTheme="minorHAnsi"/>
                <w:sz w:val="22"/>
                <w:szCs w:val="22"/>
              </w:rPr>
              <w:t>22</w:t>
            </w:r>
          </w:p>
          <w:p w14:paraId="31E9590C" w14:textId="7FED388F" w:rsidR="006B6396" w:rsidRPr="006B6396" w:rsidRDefault="006B6396" w:rsidP="00B61952">
            <w:pPr>
              <w:rPr>
                <w:rFonts w:asciiTheme="minorHAnsi" w:hAnsiTheme="minorHAnsi"/>
                <w:sz w:val="22"/>
                <w:szCs w:val="22"/>
              </w:rPr>
            </w:pPr>
            <w:r w:rsidRPr="006B639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708" w:type="dxa"/>
            <w:vMerge/>
          </w:tcPr>
          <w:p w14:paraId="6009EEC2" w14:textId="77777777" w:rsidR="006B6396" w:rsidRPr="00E77CF0" w:rsidRDefault="006B6396" w:rsidP="00B61952">
            <w:pPr>
              <w:rPr>
                <w:b/>
              </w:rPr>
            </w:pPr>
          </w:p>
        </w:tc>
      </w:tr>
    </w:tbl>
    <w:p w14:paraId="763A47FD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34E8BC9B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5F985E59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73686694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7342B56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776F478C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318C6BD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1F33B242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1D4A5C5B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48C5C262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483C512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4E2BFA03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82320F5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46B3FEA4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23CB6CB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07BBCC2E" w14:textId="77777777" w:rsidR="006B6396" w:rsidRDefault="006B6396" w:rsidP="00001FEF">
      <w:pPr>
        <w:pStyle w:val="Default"/>
        <w:rPr>
          <w:b/>
          <w:sz w:val="22"/>
          <w:szCs w:val="22"/>
        </w:rPr>
      </w:pPr>
    </w:p>
    <w:p w14:paraId="32AE1544" w14:textId="42ADFAA8" w:rsidR="00001FEF" w:rsidRPr="00001FEF" w:rsidRDefault="00D460DC" w:rsidP="00126F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8F6062">
        <w:rPr>
          <w:b/>
          <w:sz w:val="22"/>
          <w:szCs w:val="22"/>
        </w:rPr>
        <w:t>Purpose</w:t>
      </w:r>
      <w:r w:rsidR="00001FEF" w:rsidRPr="00001FEF">
        <w:rPr>
          <w:b/>
          <w:sz w:val="22"/>
          <w:szCs w:val="22"/>
        </w:rPr>
        <w:t xml:space="preserve"> </w:t>
      </w:r>
    </w:p>
    <w:p w14:paraId="5E0DDE07" w14:textId="77777777" w:rsidR="00A46AD8" w:rsidRDefault="00A46AD8" w:rsidP="00126F91">
      <w:pPr>
        <w:pStyle w:val="Default"/>
        <w:rPr>
          <w:sz w:val="22"/>
          <w:szCs w:val="22"/>
        </w:rPr>
      </w:pPr>
    </w:p>
    <w:p w14:paraId="5CC20083" w14:textId="1C2EBEA7" w:rsidR="00F70D8F" w:rsidRPr="00001FEF" w:rsidRDefault="00001FEF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purpose</w:t>
      </w:r>
      <w:r w:rsidR="0008752C">
        <w:rPr>
          <w:sz w:val="22"/>
          <w:szCs w:val="22"/>
        </w:rPr>
        <w:t>s of this funding policy are to</w:t>
      </w:r>
      <w:r w:rsidR="000355E2">
        <w:rPr>
          <w:sz w:val="22"/>
          <w:szCs w:val="22"/>
        </w:rPr>
        <w:t>:</w:t>
      </w:r>
      <w:r>
        <w:rPr>
          <w:sz w:val="22"/>
          <w:szCs w:val="22"/>
        </w:rPr>
        <w:t xml:space="preserve"> 1) ensure appropriate funding for students enrolled in the Veterinary Medical Sciences </w:t>
      </w:r>
      <w:r w:rsidR="00C54DA0">
        <w:rPr>
          <w:sz w:val="22"/>
          <w:szCs w:val="22"/>
        </w:rPr>
        <w:t xml:space="preserve">(VMS) </w:t>
      </w:r>
      <w:r>
        <w:rPr>
          <w:sz w:val="22"/>
          <w:szCs w:val="22"/>
        </w:rPr>
        <w:t xml:space="preserve">Graduate Program; </w:t>
      </w:r>
      <w:r w:rsidR="00643685">
        <w:rPr>
          <w:sz w:val="22"/>
          <w:szCs w:val="22"/>
        </w:rPr>
        <w:t xml:space="preserve">and </w:t>
      </w:r>
      <w:r>
        <w:rPr>
          <w:sz w:val="22"/>
          <w:szCs w:val="22"/>
        </w:rPr>
        <w:t>2) e</w:t>
      </w:r>
      <w:r w:rsidR="001644CE" w:rsidRPr="00001FEF">
        <w:rPr>
          <w:sz w:val="22"/>
          <w:szCs w:val="22"/>
        </w:rPr>
        <w:t xml:space="preserve">nhance transparency for students/prospective students by </w:t>
      </w:r>
      <w:r w:rsidR="008F6062">
        <w:rPr>
          <w:sz w:val="22"/>
          <w:szCs w:val="22"/>
        </w:rPr>
        <w:t>clearly articulating</w:t>
      </w:r>
      <w:r w:rsidR="001644CE" w:rsidRPr="00001FEF">
        <w:rPr>
          <w:sz w:val="22"/>
          <w:szCs w:val="22"/>
        </w:rPr>
        <w:t xml:space="preserve"> the composition of funding packages and their approach to various elements of the package (e</w:t>
      </w:r>
      <w:r w:rsidR="00ED7D93">
        <w:rPr>
          <w:sz w:val="22"/>
          <w:szCs w:val="22"/>
        </w:rPr>
        <w:t>.</w:t>
      </w:r>
      <w:r w:rsidR="001644CE" w:rsidRPr="00001FEF">
        <w:rPr>
          <w:sz w:val="22"/>
          <w:szCs w:val="22"/>
        </w:rPr>
        <w:t xml:space="preserve">g., </w:t>
      </w:r>
      <w:r w:rsidR="008F6062">
        <w:rPr>
          <w:sz w:val="22"/>
          <w:szCs w:val="22"/>
        </w:rPr>
        <w:t>teaching assistantships</w:t>
      </w:r>
      <w:r w:rsidR="001644CE" w:rsidRPr="00001FEF">
        <w:rPr>
          <w:sz w:val="22"/>
          <w:szCs w:val="22"/>
        </w:rPr>
        <w:t xml:space="preserve">, </w:t>
      </w:r>
      <w:r w:rsidR="00223461">
        <w:rPr>
          <w:sz w:val="22"/>
          <w:szCs w:val="22"/>
        </w:rPr>
        <w:t>awards</w:t>
      </w:r>
      <w:r w:rsidR="001644CE" w:rsidRPr="00001FEF">
        <w:rPr>
          <w:sz w:val="22"/>
          <w:szCs w:val="22"/>
        </w:rPr>
        <w:t>, etc.)</w:t>
      </w:r>
      <w:r w:rsidR="00461CC9">
        <w:rPr>
          <w:sz w:val="22"/>
          <w:szCs w:val="22"/>
        </w:rPr>
        <w:t xml:space="preserve"> </w:t>
      </w:r>
    </w:p>
    <w:p w14:paraId="50765EC7" w14:textId="77777777" w:rsidR="00001FEF" w:rsidRDefault="00001FEF" w:rsidP="00126F91">
      <w:pPr>
        <w:pStyle w:val="Default"/>
        <w:rPr>
          <w:sz w:val="22"/>
          <w:szCs w:val="22"/>
        </w:rPr>
      </w:pPr>
    </w:p>
    <w:p w14:paraId="1B53DD5E" w14:textId="2775D9D9" w:rsidR="008F6062" w:rsidRPr="008F6062" w:rsidRDefault="00D460DC" w:rsidP="00126F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8F6062" w:rsidRPr="008F6062">
        <w:rPr>
          <w:b/>
          <w:sz w:val="22"/>
          <w:szCs w:val="22"/>
        </w:rPr>
        <w:t xml:space="preserve">Scope </w:t>
      </w:r>
    </w:p>
    <w:p w14:paraId="29593332" w14:textId="77777777" w:rsidR="00A46AD8" w:rsidRDefault="00A46AD8" w:rsidP="00126F91">
      <w:pPr>
        <w:pStyle w:val="Default"/>
        <w:rPr>
          <w:sz w:val="22"/>
          <w:szCs w:val="22"/>
        </w:rPr>
      </w:pPr>
    </w:p>
    <w:p w14:paraId="1907FF93" w14:textId="4854DFEA" w:rsidR="008F6062" w:rsidRDefault="008F6062" w:rsidP="00126F91">
      <w:pPr>
        <w:pStyle w:val="Default"/>
        <w:rPr>
          <w:sz w:val="22"/>
          <w:szCs w:val="22"/>
        </w:rPr>
      </w:pPr>
      <w:r w:rsidRPr="00C85ADD">
        <w:rPr>
          <w:sz w:val="22"/>
          <w:szCs w:val="22"/>
        </w:rPr>
        <w:t>This policy</w:t>
      </w:r>
      <w:r w:rsidR="006B6396" w:rsidRPr="00C85ADD">
        <w:rPr>
          <w:sz w:val="22"/>
          <w:szCs w:val="22"/>
        </w:rPr>
        <w:t xml:space="preserve"> </w:t>
      </w:r>
      <w:r w:rsidRPr="00C85ADD">
        <w:rPr>
          <w:sz w:val="22"/>
          <w:szCs w:val="22"/>
        </w:rPr>
        <w:t xml:space="preserve">applies to </w:t>
      </w:r>
      <w:r w:rsidR="000A381F" w:rsidRPr="00C85ADD">
        <w:rPr>
          <w:sz w:val="22"/>
          <w:szCs w:val="22"/>
        </w:rPr>
        <w:t xml:space="preserve">current students approved for a change of </w:t>
      </w:r>
      <w:r w:rsidR="001938E5" w:rsidRPr="00C85ADD">
        <w:rPr>
          <w:sz w:val="22"/>
          <w:szCs w:val="22"/>
        </w:rPr>
        <w:t xml:space="preserve">degree </w:t>
      </w:r>
      <w:r w:rsidR="005E5BA4" w:rsidRPr="00C85ADD">
        <w:rPr>
          <w:sz w:val="22"/>
          <w:szCs w:val="22"/>
        </w:rPr>
        <w:t xml:space="preserve">program </w:t>
      </w:r>
      <w:r w:rsidR="000A381F" w:rsidRPr="00C85ADD">
        <w:rPr>
          <w:sz w:val="22"/>
          <w:szCs w:val="22"/>
        </w:rPr>
        <w:t>and new</w:t>
      </w:r>
      <w:r w:rsidRPr="00C85ADD">
        <w:rPr>
          <w:sz w:val="22"/>
          <w:szCs w:val="22"/>
        </w:rPr>
        <w:t xml:space="preserve"> students </w:t>
      </w:r>
      <w:r w:rsidR="006B6396" w:rsidRPr="00C85ADD">
        <w:rPr>
          <w:sz w:val="22"/>
          <w:szCs w:val="22"/>
        </w:rPr>
        <w:t xml:space="preserve">admitted to </w:t>
      </w:r>
      <w:r w:rsidRPr="00C85ADD">
        <w:rPr>
          <w:sz w:val="22"/>
          <w:szCs w:val="22"/>
        </w:rPr>
        <w:t xml:space="preserve">the </w:t>
      </w:r>
      <w:r w:rsidR="00C54DA0" w:rsidRPr="00C85ADD">
        <w:rPr>
          <w:sz w:val="22"/>
          <w:szCs w:val="22"/>
        </w:rPr>
        <w:t xml:space="preserve">VMS </w:t>
      </w:r>
      <w:r w:rsidRPr="00C85ADD">
        <w:rPr>
          <w:sz w:val="22"/>
          <w:szCs w:val="22"/>
        </w:rPr>
        <w:t>Graduate Program</w:t>
      </w:r>
      <w:r w:rsidR="006B6396" w:rsidRPr="00C85ADD">
        <w:rPr>
          <w:sz w:val="22"/>
          <w:szCs w:val="22"/>
        </w:rPr>
        <w:t xml:space="preserve"> </w:t>
      </w:r>
      <w:r w:rsidR="001D2D93" w:rsidRPr="00C85ADD">
        <w:rPr>
          <w:sz w:val="22"/>
          <w:szCs w:val="22"/>
        </w:rPr>
        <w:t xml:space="preserve">from </w:t>
      </w:r>
      <w:r w:rsidR="00FB4F83" w:rsidRPr="00C85ADD">
        <w:rPr>
          <w:sz w:val="22"/>
          <w:szCs w:val="22"/>
        </w:rPr>
        <w:t xml:space="preserve">May </w:t>
      </w:r>
      <w:r w:rsidR="006B05EF" w:rsidRPr="00C85ADD">
        <w:rPr>
          <w:sz w:val="22"/>
          <w:szCs w:val="22"/>
        </w:rPr>
        <w:t>1, 2019.</w:t>
      </w:r>
      <w:r w:rsidR="006B05EF">
        <w:rPr>
          <w:sz w:val="22"/>
          <w:szCs w:val="22"/>
        </w:rPr>
        <w:t xml:space="preserve"> </w:t>
      </w:r>
    </w:p>
    <w:p w14:paraId="221BB0A1" w14:textId="77777777" w:rsidR="008F6062" w:rsidRDefault="008F6062" w:rsidP="00126F91">
      <w:pPr>
        <w:pStyle w:val="Default"/>
        <w:rPr>
          <w:sz w:val="22"/>
          <w:szCs w:val="22"/>
        </w:rPr>
      </w:pPr>
    </w:p>
    <w:p w14:paraId="699E7EDD" w14:textId="6F331300" w:rsidR="008F6062" w:rsidRPr="008F6062" w:rsidRDefault="00D460DC" w:rsidP="00126F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8F6062" w:rsidRPr="008F6062">
        <w:rPr>
          <w:b/>
          <w:sz w:val="22"/>
          <w:szCs w:val="22"/>
        </w:rPr>
        <w:t>Definitions</w:t>
      </w:r>
    </w:p>
    <w:p w14:paraId="51EA6CB5" w14:textId="77777777" w:rsidR="00A46AD8" w:rsidRDefault="00A46AD8" w:rsidP="00126F91">
      <w:pPr>
        <w:pStyle w:val="Default"/>
        <w:rPr>
          <w:sz w:val="22"/>
          <w:szCs w:val="22"/>
        </w:rPr>
      </w:pPr>
    </w:p>
    <w:p w14:paraId="319E4BFC" w14:textId="6F7C8226" w:rsidR="00A46AD8" w:rsidRDefault="008F6062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this policy:</w:t>
      </w:r>
    </w:p>
    <w:p w14:paraId="0A196B50" w14:textId="7B1EE647" w:rsidR="00D43A7F" w:rsidRDefault="008F6062" w:rsidP="00126F9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“Student” means a student registered in a Masters or PhD</w:t>
      </w:r>
      <w:r w:rsidR="00302CF3">
        <w:rPr>
          <w:sz w:val="22"/>
          <w:szCs w:val="22"/>
        </w:rPr>
        <w:t xml:space="preserve"> program in the </w:t>
      </w:r>
      <w:r w:rsidR="00C54DA0">
        <w:rPr>
          <w:sz w:val="22"/>
          <w:szCs w:val="22"/>
        </w:rPr>
        <w:t>VMS program.</w:t>
      </w:r>
    </w:p>
    <w:p w14:paraId="1AE600F6" w14:textId="77777777" w:rsidR="00C85ACC" w:rsidRPr="00643685" w:rsidRDefault="00C85ACC" w:rsidP="00C85ACC">
      <w:pPr>
        <w:pStyle w:val="Default"/>
        <w:ind w:left="720"/>
        <w:rPr>
          <w:sz w:val="22"/>
          <w:szCs w:val="22"/>
        </w:rPr>
      </w:pPr>
    </w:p>
    <w:p w14:paraId="673FB3C6" w14:textId="505BA44E" w:rsidR="00D43A7F" w:rsidRDefault="00D43A7F" w:rsidP="00126F9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‘Supervisor” means a qualified individual, normally an Academic Staff member, who serves as a primary mentor to a </w:t>
      </w:r>
      <w:r w:rsidR="00B81142">
        <w:rPr>
          <w:sz w:val="22"/>
          <w:szCs w:val="22"/>
        </w:rPr>
        <w:t>s</w:t>
      </w:r>
      <w:r>
        <w:rPr>
          <w:sz w:val="22"/>
          <w:szCs w:val="22"/>
        </w:rPr>
        <w:t xml:space="preserve">tudent, </w:t>
      </w:r>
      <w:r w:rsidR="00643685">
        <w:rPr>
          <w:sz w:val="22"/>
          <w:szCs w:val="22"/>
        </w:rPr>
        <w:t xml:space="preserve">oversees the </w:t>
      </w:r>
      <w:r w:rsidR="0028065B">
        <w:rPr>
          <w:sz w:val="22"/>
          <w:szCs w:val="22"/>
        </w:rPr>
        <w:t>s</w:t>
      </w:r>
      <w:r w:rsidR="00643685">
        <w:rPr>
          <w:sz w:val="22"/>
          <w:szCs w:val="22"/>
        </w:rPr>
        <w:t xml:space="preserve">tudent’s academic progress and serves as chair of the </w:t>
      </w:r>
      <w:r w:rsidR="00B81142">
        <w:rPr>
          <w:sz w:val="22"/>
          <w:szCs w:val="22"/>
        </w:rPr>
        <w:t>s</w:t>
      </w:r>
      <w:r w:rsidR="00643685">
        <w:rPr>
          <w:sz w:val="22"/>
          <w:szCs w:val="22"/>
        </w:rPr>
        <w:t>tudent’s supervisor</w:t>
      </w:r>
      <w:r w:rsidR="00ED7D93">
        <w:rPr>
          <w:sz w:val="22"/>
          <w:szCs w:val="22"/>
        </w:rPr>
        <w:t>y</w:t>
      </w:r>
      <w:r w:rsidR="00643685">
        <w:rPr>
          <w:sz w:val="22"/>
          <w:szCs w:val="22"/>
        </w:rPr>
        <w:t xml:space="preserve"> committee. </w:t>
      </w:r>
    </w:p>
    <w:p w14:paraId="04BF915F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618A7699" w14:textId="34A4DB5E" w:rsidR="008F6062" w:rsidRDefault="008F6062" w:rsidP="00126F9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8F6062">
        <w:rPr>
          <w:sz w:val="22"/>
          <w:szCs w:val="22"/>
        </w:rPr>
        <w:t>Progr</w:t>
      </w:r>
      <w:r>
        <w:rPr>
          <w:sz w:val="22"/>
          <w:szCs w:val="22"/>
        </w:rPr>
        <w:t>am-Set Minimum Funding Level” means m</w:t>
      </w:r>
      <w:r w:rsidRPr="008F6062">
        <w:rPr>
          <w:sz w:val="22"/>
          <w:szCs w:val="22"/>
        </w:rPr>
        <w:t xml:space="preserve">inimum annual guaranteed funding for full-time </w:t>
      </w:r>
      <w:r w:rsidR="0028065B">
        <w:rPr>
          <w:sz w:val="22"/>
          <w:szCs w:val="22"/>
        </w:rPr>
        <w:t>s</w:t>
      </w:r>
      <w:r w:rsidRPr="008F6062">
        <w:rPr>
          <w:sz w:val="22"/>
          <w:szCs w:val="22"/>
        </w:rPr>
        <w:t xml:space="preserve">tudents, established by the </w:t>
      </w:r>
      <w:r>
        <w:rPr>
          <w:sz w:val="22"/>
          <w:szCs w:val="22"/>
        </w:rPr>
        <w:t xml:space="preserve">VMS </w:t>
      </w:r>
      <w:r w:rsidRPr="008F6062">
        <w:rPr>
          <w:sz w:val="22"/>
          <w:szCs w:val="22"/>
        </w:rPr>
        <w:t xml:space="preserve">program. </w:t>
      </w:r>
    </w:p>
    <w:p w14:paraId="44389F3C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35DACF25" w14:textId="3361D771" w:rsidR="00223461" w:rsidRPr="00C85ACC" w:rsidRDefault="008F6062" w:rsidP="00C85ACC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1644CE" w:rsidRPr="008F6062">
        <w:rPr>
          <w:sz w:val="22"/>
          <w:szCs w:val="22"/>
        </w:rPr>
        <w:t>Student’s Mi</w:t>
      </w:r>
      <w:r>
        <w:rPr>
          <w:sz w:val="22"/>
          <w:szCs w:val="22"/>
        </w:rPr>
        <w:t>nimum Guaranteed Funding Amount” means</w:t>
      </w:r>
      <w:r w:rsidR="001644CE" w:rsidRPr="008F6062">
        <w:rPr>
          <w:sz w:val="22"/>
          <w:szCs w:val="22"/>
        </w:rPr>
        <w:t xml:space="preserve"> annual amount of funding from all sources guaranteed to a </w:t>
      </w:r>
      <w:r w:rsidR="0028065B">
        <w:rPr>
          <w:sz w:val="22"/>
          <w:szCs w:val="22"/>
        </w:rPr>
        <w:t>s</w:t>
      </w:r>
      <w:r w:rsidR="001644CE" w:rsidRPr="008F6062">
        <w:rPr>
          <w:sz w:val="22"/>
          <w:szCs w:val="22"/>
        </w:rPr>
        <w:t>tudent at time of admission. </w:t>
      </w:r>
      <w:r w:rsidR="001644CE">
        <w:rPr>
          <w:sz w:val="22"/>
          <w:szCs w:val="22"/>
        </w:rPr>
        <w:t xml:space="preserve"> T</w:t>
      </w:r>
      <w:r w:rsidR="001644CE" w:rsidRPr="008F6062">
        <w:rPr>
          <w:sz w:val="22"/>
          <w:szCs w:val="22"/>
        </w:rPr>
        <w:t>his amount may be equal to or greater than the Program-Set Minimum Funding Level. </w:t>
      </w:r>
    </w:p>
    <w:p w14:paraId="084A5E6F" w14:textId="77777777" w:rsidR="00126F91" w:rsidRDefault="00126F91" w:rsidP="00126F91">
      <w:pPr>
        <w:pStyle w:val="Default"/>
        <w:rPr>
          <w:b/>
          <w:sz w:val="22"/>
          <w:szCs w:val="22"/>
        </w:rPr>
      </w:pPr>
    </w:p>
    <w:p w14:paraId="0075D19C" w14:textId="156CD78C" w:rsidR="008F6062" w:rsidRPr="008F6062" w:rsidRDefault="00D460DC" w:rsidP="00126F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F6062" w:rsidRPr="008F6062">
        <w:rPr>
          <w:b/>
          <w:sz w:val="22"/>
          <w:szCs w:val="22"/>
        </w:rPr>
        <w:t xml:space="preserve">Policy Statements </w:t>
      </w:r>
    </w:p>
    <w:p w14:paraId="59100895" w14:textId="77777777" w:rsidR="00A46AD8" w:rsidRDefault="00A46AD8" w:rsidP="00126F91">
      <w:pPr>
        <w:pStyle w:val="Default"/>
        <w:rPr>
          <w:b/>
          <w:sz w:val="22"/>
          <w:szCs w:val="22"/>
        </w:rPr>
      </w:pPr>
    </w:p>
    <w:p w14:paraId="7F5BFF98" w14:textId="5CEBC8AF" w:rsidR="000A7814" w:rsidRDefault="00D060A3" w:rsidP="00126F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VMS </w:t>
      </w:r>
      <w:r w:rsidR="000A7814" w:rsidRPr="000A7814">
        <w:rPr>
          <w:b/>
          <w:sz w:val="22"/>
          <w:szCs w:val="22"/>
        </w:rPr>
        <w:t xml:space="preserve">Program-Set Minimum Funding </w:t>
      </w:r>
    </w:p>
    <w:p w14:paraId="320DDE25" w14:textId="77777777" w:rsidR="00A46AD8" w:rsidRPr="000A7814" w:rsidRDefault="00A46AD8" w:rsidP="00126F91">
      <w:pPr>
        <w:pStyle w:val="Default"/>
        <w:rPr>
          <w:b/>
          <w:sz w:val="22"/>
          <w:szCs w:val="22"/>
        </w:rPr>
      </w:pPr>
    </w:p>
    <w:p w14:paraId="038C5465" w14:textId="52FA077E" w:rsidR="00643685" w:rsidRDefault="00643685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="00D060A3">
        <w:rPr>
          <w:sz w:val="22"/>
          <w:szCs w:val="22"/>
        </w:rPr>
        <w:t xml:space="preserve">VMS </w:t>
      </w:r>
      <w:r w:rsidR="000A7814" w:rsidRPr="000A7814">
        <w:rPr>
          <w:sz w:val="22"/>
          <w:szCs w:val="22"/>
        </w:rPr>
        <w:t>Program-Set Minimum Funding</w:t>
      </w:r>
      <w:r w:rsidR="000A7814" w:rsidRPr="000A7814">
        <w:rPr>
          <w:b/>
          <w:sz w:val="22"/>
          <w:szCs w:val="22"/>
        </w:rPr>
        <w:t xml:space="preserve"> </w:t>
      </w:r>
      <w:r w:rsidR="000A7814" w:rsidRPr="000A7814">
        <w:rPr>
          <w:sz w:val="22"/>
          <w:szCs w:val="22"/>
        </w:rPr>
        <w:t xml:space="preserve">for </w:t>
      </w:r>
      <w:r w:rsidR="000A7814">
        <w:rPr>
          <w:sz w:val="22"/>
          <w:szCs w:val="22"/>
        </w:rPr>
        <w:t xml:space="preserve">doctoral </w:t>
      </w:r>
      <w:r w:rsidR="00B01595">
        <w:rPr>
          <w:sz w:val="22"/>
          <w:szCs w:val="22"/>
        </w:rPr>
        <w:t>students enrolled full time is $2</w:t>
      </w:r>
      <w:r w:rsidR="00E42CDB">
        <w:rPr>
          <w:sz w:val="22"/>
          <w:szCs w:val="22"/>
        </w:rPr>
        <w:t>4</w:t>
      </w:r>
      <w:r w:rsidR="00B01595">
        <w:rPr>
          <w:sz w:val="22"/>
          <w:szCs w:val="22"/>
        </w:rPr>
        <w:t xml:space="preserve">,000 annually for four years. </w:t>
      </w:r>
    </w:p>
    <w:p w14:paraId="5A17FD14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6639F27F" w14:textId="2642887E" w:rsidR="000A7814" w:rsidRDefault="000A7814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4.2.</w:t>
      </w:r>
      <w:r w:rsidR="00643685">
        <w:rPr>
          <w:sz w:val="22"/>
          <w:szCs w:val="22"/>
        </w:rPr>
        <w:tab/>
      </w:r>
      <w:r w:rsidR="00D060A3">
        <w:rPr>
          <w:sz w:val="22"/>
          <w:szCs w:val="22"/>
        </w:rPr>
        <w:t xml:space="preserve">VMS </w:t>
      </w:r>
      <w:r w:rsidRPr="000A7814">
        <w:rPr>
          <w:sz w:val="22"/>
          <w:szCs w:val="22"/>
        </w:rPr>
        <w:t>Program-Set Minimum Funding</w:t>
      </w:r>
      <w:r w:rsidRPr="000A7814">
        <w:rPr>
          <w:b/>
          <w:sz w:val="22"/>
          <w:szCs w:val="22"/>
        </w:rPr>
        <w:t xml:space="preserve"> </w:t>
      </w:r>
      <w:r w:rsidRPr="000A7814">
        <w:rPr>
          <w:sz w:val="22"/>
          <w:szCs w:val="22"/>
        </w:rPr>
        <w:t xml:space="preserve">for </w:t>
      </w:r>
      <w:r>
        <w:rPr>
          <w:sz w:val="22"/>
          <w:szCs w:val="22"/>
        </w:rPr>
        <w:t>Masters students enrolled full time is $22,000 annually for two years.</w:t>
      </w:r>
    </w:p>
    <w:p w14:paraId="6554DB47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1C394B3C" w14:textId="16FACB1D" w:rsidR="000A7814" w:rsidRDefault="000A7814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 xml:space="preserve">The Council of the Faculty of Graduate Studies will review the Program-Set Minimum Funding for </w:t>
      </w:r>
      <w:r w:rsidR="00AC3881">
        <w:rPr>
          <w:sz w:val="22"/>
          <w:szCs w:val="22"/>
        </w:rPr>
        <w:t xml:space="preserve">Doctoral students at </w:t>
      </w:r>
      <w:r>
        <w:rPr>
          <w:sz w:val="22"/>
          <w:szCs w:val="22"/>
        </w:rPr>
        <w:t xml:space="preserve">least once every three years to determine whether an increase is appropriate. </w:t>
      </w:r>
    </w:p>
    <w:p w14:paraId="036D2C08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3FC83CE0" w14:textId="2C738CA9" w:rsidR="00AC3881" w:rsidRDefault="00AC3881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 xml:space="preserve">The VMS Program-Set Minimum Doctoral Funding Level takes precedence over the minimum set out in section 4.1. of FGS Graduate Student Funding Operating Standard, as the VMS Program-Set Minimum Funding is higher than the </w:t>
      </w:r>
      <w:r w:rsidR="005225E6">
        <w:rPr>
          <w:sz w:val="22"/>
          <w:szCs w:val="22"/>
        </w:rPr>
        <w:t xml:space="preserve">minimum </w:t>
      </w:r>
      <w:r>
        <w:rPr>
          <w:sz w:val="22"/>
          <w:szCs w:val="22"/>
        </w:rPr>
        <w:t>amount</w:t>
      </w:r>
      <w:r w:rsidR="00ED7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5225E6">
        <w:rPr>
          <w:sz w:val="22"/>
          <w:szCs w:val="22"/>
        </w:rPr>
        <w:t>the FGS Graduate Student Funding Operating Standard.</w:t>
      </w:r>
    </w:p>
    <w:p w14:paraId="0E3EDE57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7265D4D0" w14:textId="1372CB61" w:rsidR="005225E6" w:rsidRDefault="005225E6" w:rsidP="00126F91">
      <w:pPr>
        <w:pStyle w:val="Default"/>
        <w:ind w:left="720" w:hanging="720"/>
      </w:pPr>
      <w:r>
        <w:rPr>
          <w:sz w:val="22"/>
          <w:szCs w:val="22"/>
        </w:rPr>
        <w:t xml:space="preserve">4.5. </w:t>
      </w:r>
      <w:r w:rsidR="00643685">
        <w:rPr>
          <w:sz w:val="22"/>
          <w:szCs w:val="22"/>
        </w:rPr>
        <w:tab/>
      </w:r>
      <w:r w:rsidR="00D43A7F">
        <w:rPr>
          <w:sz w:val="22"/>
          <w:szCs w:val="22"/>
        </w:rPr>
        <w:t>S</w:t>
      </w:r>
      <w:r>
        <w:rPr>
          <w:sz w:val="22"/>
          <w:szCs w:val="22"/>
        </w:rPr>
        <w:t>tudents who are fully funded by an external agency (</w:t>
      </w:r>
      <w:r w:rsidR="00ED7D93">
        <w:rPr>
          <w:sz w:val="22"/>
          <w:szCs w:val="22"/>
        </w:rPr>
        <w:t>e.g.</w:t>
      </w:r>
      <w:r>
        <w:rPr>
          <w:sz w:val="22"/>
          <w:szCs w:val="22"/>
        </w:rPr>
        <w:t xml:space="preserve"> scholarship agency of a foreign government) to an amount equal to or greater than the VMS-Set Minimum Funding Amount may be admitted with approval of the Dean of Graduate Studies. </w:t>
      </w:r>
      <w:r w:rsidRPr="00D97082">
        <w:rPr>
          <w:sz w:val="22"/>
          <w:szCs w:val="22"/>
        </w:rPr>
        <w:t xml:space="preserve">These students are not eligible for </w:t>
      </w:r>
      <w:r w:rsidR="00A94E3D" w:rsidRPr="00D97082">
        <w:rPr>
          <w:sz w:val="22"/>
          <w:szCs w:val="22"/>
        </w:rPr>
        <w:t>any funding sources from the V</w:t>
      </w:r>
      <w:r w:rsidR="00D97082">
        <w:rPr>
          <w:sz w:val="22"/>
          <w:szCs w:val="22"/>
        </w:rPr>
        <w:t xml:space="preserve">MS program or </w:t>
      </w:r>
      <w:proofErr w:type="spellStart"/>
      <w:r w:rsidR="00DE01D2" w:rsidRPr="00D97082">
        <w:rPr>
          <w:sz w:val="22"/>
          <w:szCs w:val="22"/>
        </w:rPr>
        <w:t>UofC</w:t>
      </w:r>
      <w:proofErr w:type="spellEnd"/>
      <w:r w:rsidR="00D97082">
        <w:rPr>
          <w:sz w:val="22"/>
          <w:szCs w:val="22"/>
        </w:rPr>
        <w:t xml:space="preserve"> </w:t>
      </w:r>
      <w:r w:rsidR="00DE01D2" w:rsidRPr="00D97082">
        <w:rPr>
          <w:sz w:val="22"/>
          <w:szCs w:val="22"/>
        </w:rPr>
        <w:t>and supervisors are exempted from paying the Minimum Stipend.</w:t>
      </w:r>
      <w:r w:rsidR="00DE01D2">
        <w:rPr>
          <w:sz w:val="22"/>
          <w:szCs w:val="22"/>
        </w:rPr>
        <w:t xml:space="preserve"> </w:t>
      </w:r>
      <w:r w:rsidR="00D97082" w:rsidRPr="00D97082">
        <w:t xml:space="preserve"> </w:t>
      </w:r>
      <w:r w:rsidR="00D97082" w:rsidRPr="00D97082">
        <w:rPr>
          <w:sz w:val="22"/>
          <w:szCs w:val="22"/>
        </w:rPr>
        <w:t xml:space="preserve">However, </w:t>
      </w:r>
      <w:r w:rsidR="00D97082">
        <w:rPr>
          <w:sz w:val="22"/>
          <w:szCs w:val="22"/>
        </w:rPr>
        <w:t>a</w:t>
      </w:r>
      <w:r w:rsidR="00D97082" w:rsidRPr="00D97082">
        <w:rPr>
          <w:sz w:val="22"/>
          <w:szCs w:val="22"/>
        </w:rPr>
        <w:t xml:space="preserve"> supervisor may choose to top-up these students, but it should be made clear in their letter of offer.</w:t>
      </w:r>
      <w:r w:rsidR="00D97082">
        <w:t xml:space="preserve"> </w:t>
      </w:r>
    </w:p>
    <w:p w14:paraId="1CE46242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631AABA1" w14:textId="35F110B2" w:rsidR="005225E6" w:rsidRDefault="005225E6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 xml:space="preserve">Funding from a First Nations, Metis or Inuit organization (i.e. band funding or similar) is not considered external funding under this policy; </w:t>
      </w:r>
      <w:r w:rsidR="00ED7D93">
        <w:rPr>
          <w:sz w:val="22"/>
          <w:szCs w:val="22"/>
        </w:rPr>
        <w:t>therefore, t</w:t>
      </w:r>
      <w:r w:rsidR="00D060A3">
        <w:rPr>
          <w:sz w:val="22"/>
          <w:szCs w:val="22"/>
        </w:rPr>
        <w:t xml:space="preserve">hese </w:t>
      </w:r>
      <w:r w:rsidR="00C14810">
        <w:rPr>
          <w:sz w:val="22"/>
          <w:szCs w:val="22"/>
        </w:rPr>
        <w:t>s</w:t>
      </w:r>
      <w:r>
        <w:rPr>
          <w:sz w:val="22"/>
          <w:szCs w:val="22"/>
        </w:rPr>
        <w:t xml:space="preserve">tudents are eligible for university and/or external funding up to at least the VMS-Set Minimum Funding Level. </w:t>
      </w:r>
    </w:p>
    <w:p w14:paraId="009A4FBA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598F5C84" w14:textId="7C1A48F0" w:rsidR="00A94E3D" w:rsidRDefault="00A94E3D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 xml:space="preserve">The VMS program may recommend admission of a Self-Funded Student to the Dean of Faculty of Graduate </w:t>
      </w:r>
      <w:r w:rsidR="004974D9">
        <w:rPr>
          <w:sz w:val="22"/>
          <w:szCs w:val="22"/>
        </w:rPr>
        <w:t>Studies</w:t>
      </w:r>
      <w:r w:rsidR="00ED7D9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a rationale explaining the recommendation. The decision whether to permit a self-funding student is made by the Dean of Graduate Studies. </w:t>
      </w:r>
    </w:p>
    <w:p w14:paraId="3AF14C91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1032B858" w14:textId="176D1BF2" w:rsidR="00DE01D2" w:rsidRDefault="00D060A3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 xml:space="preserve">Letter of admission must specify a Student’s Minimum Guaranteed Funding Amount each year in which funding is offered. A Student’s guaranteed annual funding can equal or exceed the VMS Program-Set Minimum Funding Levels for Masters and PhD students. </w:t>
      </w:r>
    </w:p>
    <w:p w14:paraId="561320C8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1EA8CDB6" w14:textId="4FD5D706" w:rsidR="00DE01D2" w:rsidRDefault="00DE01D2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643685">
        <w:rPr>
          <w:sz w:val="22"/>
          <w:szCs w:val="22"/>
        </w:rPr>
        <w:tab/>
      </w:r>
      <w:r w:rsidRPr="00D97082">
        <w:rPr>
          <w:sz w:val="22"/>
          <w:szCs w:val="22"/>
        </w:rPr>
        <w:t xml:space="preserve">Students are entitled to understand the amount and source(s) of their funding in each academic year. </w:t>
      </w:r>
      <w:r w:rsidR="00FB4F83">
        <w:rPr>
          <w:sz w:val="22"/>
          <w:szCs w:val="22"/>
        </w:rPr>
        <w:t xml:space="preserve">The VMS program is responsible for updating the student on funding </w:t>
      </w:r>
      <w:r w:rsidR="00D97082" w:rsidRPr="00D97082">
        <w:rPr>
          <w:sz w:val="22"/>
          <w:szCs w:val="22"/>
        </w:rPr>
        <w:t xml:space="preserve">if the funding sources significantly change from the original funding letter. </w:t>
      </w:r>
    </w:p>
    <w:p w14:paraId="02BB7D91" w14:textId="77777777" w:rsidR="00C14810" w:rsidRDefault="00C14810" w:rsidP="00126F91">
      <w:pPr>
        <w:pStyle w:val="Default"/>
        <w:rPr>
          <w:b/>
          <w:sz w:val="22"/>
          <w:szCs w:val="22"/>
        </w:rPr>
      </w:pPr>
    </w:p>
    <w:p w14:paraId="7D41C7D7" w14:textId="2F9AD896" w:rsidR="0008752C" w:rsidRDefault="002E2EC4" w:rsidP="00126F91">
      <w:pPr>
        <w:pStyle w:val="Default"/>
        <w:rPr>
          <w:b/>
          <w:sz w:val="22"/>
          <w:szCs w:val="22"/>
        </w:rPr>
      </w:pPr>
      <w:r w:rsidRPr="00250BAA">
        <w:rPr>
          <w:b/>
          <w:sz w:val="22"/>
          <w:szCs w:val="22"/>
        </w:rPr>
        <w:t xml:space="preserve">Conditions for receiving </w:t>
      </w:r>
      <w:r w:rsidR="00250BAA" w:rsidRPr="00250BAA">
        <w:rPr>
          <w:b/>
          <w:sz w:val="22"/>
          <w:szCs w:val="22"/>
        </w:rPr>
        <w:t>Guaranteed Funding</w:t>
      </w:r>
    </w:p>
    <w:p w14:paraId="6C92AC57" w14:textId="77777777" w:rsidR="00A46AD8" w:rsidRPr="00250BAA" w:rsidRDefault="00A46AD8" w:rsidP="00126F91">
      <w:pPr>
        <w:pStyle w:val="Default"/>
        <w:rPr>
          <w:b/>
          <w:sz w:val="22"/>
          <w:szCs w:val="22"/>
        </w:rPr>
      </w:pPr>
    </w:p>
    <w:p w14:paraId="623E0D21" w14:textId="3BC2772E" w:rsidR="00B01595" w:rsidRDefault="00250BAA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B01595">
        <w:rPr>
          <w:sz w:val="22"/>
          <w:szCs w:val="22"/>
        </w:rPr>
        <w:t xml:space="preserve">tudent must be registered full time and active in program. </w:t>
      </w:r>
    </w:p>
    <w:p w14:paraId="36DD7040" w14:textId="77777777" w:rsidR="00C85ACC" w:rsidRDefault="00C85ACC" w:rsidP="00126F91">
      <w:pPr>
        <w:pStyle w:val="Default"/>
        <w:rPr>
          <w:sz w:val="22"/>
          <w:szCs w:val="22"/>
        </w:rPr>
      </w:pPr>
    </w:p>
    <w:p w14:paraId="2E24B4E4" w14:textId="59A6DF4A" w:rsidR="00250BAA" w:rsidRDefault="00250BAA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="00643685">
        <w:rPr>
          <w:sz w:val="22"/>
          <w:szCs w:val="22"/>
        </w:rPr>
        <w:tab/>
      </w:r>
      <w:r w:rsidR="00B01595">
        <w:rPr>
          <w:sz w:val="22"/>
          <w:szCs w:val="22"/>
        </w:rPr>
        <w:t>Students</w:t>
      </w:r>
      <w:r w:rsidR="00653E18">
        <w:rPr>
          <w:sz w:val="22"/>
          <w:szCs w:val="22"/>
        </w:rPr>
        <w:t>, regardless of their funding sources,</w:t>
      </w:r>
      <w:r w:rsidR="00B01595">
        <w:rPr>
          <w:sz w:val="22"/>
          <w:szCs w:val="22"/>
        </w:rPr>
        <w:t xml:space="preserve"> must fulfil their supervisor’s reasonable expectation</w:t>
      </w:r>
      <w:r w:rsidR="00ED7D93">
        <w:rPr>
          <w:sz w:val="22"/>
          <w:szCs w:val="22"/>
        </w:rPr>
        <w:t>s</w:t>
      </w:r>
      <w:r w:rsidR="00B01595">
        <w:rPr>
          <w:sz w:val="22"/>
          <w:szCs w:val="22"/>
        </w:rPr>
        <w:t xml:space="preserve"> regarding attendance and activity in the research environment. </w:t>
      </w:r>
      <w:r w:rsidR="005B7F93">
        <w:rPr>
          <w:sz w:val="22"/>
          <w:szCs w:val="22"/>
        </w:rPr>
        <w:t xml:space="preserve">These expectations </w:t>
      </w:r>
      <w:r>
        <w:rPr>
          <w:sz w:val="22"/>
          <w:szCs w:val="22"/>
        </w:rPr>
        <w:t xml:space="preserve">must be </w:t>
      </w:r>
      <w:r w:rsidR="00D26F13">
        <w:rPr>
          <w:sz w:val="22"/>
          <w:szCs w:val="22"/>
        </w:rPr>
        <w:t>clearly articulated in the letter of student position offer issued by the supervisor</w:t>
      </w:r>
      <w:r>
        <w:rPr>
          <w:sz w:val="22"/>
          <w:szCs w:val="22"/>
        </w:rPr>
        <w:t xml:space="preserve">, which will be reviewed at the time of admission application evaluation by the VMS Graduate Education Committee to ensure that conditions are consistent with FGS and VMS policies. </w:t>
      </w:r>
    </w:p>
    <w:p w14:paraId="682807B0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3BF0D559" w14:textId="0ABF454D" w:rsidR="00B01595" w:rsidRDefault="00250BAA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="00D26F13">
        <w:rPr>
          <w:sz w:val="22"/>
          <w:szCs w:val="22"/>
        </w:rPr>
        <w:t xml:space="preserve"> </w:t>
      </w:r>
      <w:r w:rsidR="00643685">
        <w:rPr>
          <w:sz w:val="22"/>
          <w:szCs w:val="22"/>
        </w:rPr>
        <w:tab/>
      </w:r>
      <w:r w:rsidR="005B7F93">
        <w:rPr>
          <w:sz w:val="22"/>
          <w:szCs w:val="22"/>
        </w:rPr>
        <w:t xml:space="preserve">The student must be in good standing (maintains a minimum GPA of 3.0; </w:t>
      </w:r>
      <w:r w:rsidR="001644CE" w:rsidRPr="005B7F93">
        <w:rPr>
          <w:sz w:val="22"/>
          <w:szCs w:val="22"/>
        </w:rPr>
        <w:t>tuition and fee payments must be up to date</w:t>
      </w:r>
      <w:r w:rsidR="005B7F93">
        <w:rPr>
          <w:sz w:val="22"/>
          <w:szCs w:val="22"/>
        </w:rPr>
        <w:t xml:space="preserve">; and </w:t>
      </w:r>
      <w:r w:rsidR="001644CE" w:rsidRPr="005B7F93">
        <w:rPr>
          <w:sz w:val="22"/>
          <w:szCs w:val="22"/>
        </w:rPr>
        <w:t>all program requirements completed on time</w:t>
      </w:r>
      <w:r w:rsidR="00C54DA0">
        <w:rPr>
          <w:sz w:val="22"/>
          <w:szCs w:val="22"/>
        </w:rPr>
        <w:t xml:space="preserve">, including </w:t>
      </w:r>
      <w:r w:rsidR="001644CE" w:rsidRPr="005B7F93">
        <w:rPr>
          <w:sz w:val="22"/>
          <w:szCs w:val="22"/>
        </w:rPr>
        <w:t>appointment of supervisory committee, submission of research proposal, annual committee meeting, FGS-required APR</w:t>
      </w:r>
      <w:r w:rsidR="0008752C">
        <w:rPr>
          <w:sz w:val="22"/>
          <w:szCs w:val="22"/>
        </w:rPr>
        <w:t xml:space="preserve">, </w:t>
      </w:r>
      <w:r w:rsidR="00ED7D93">
        <w:rPr>
          <w:sz w:val="22"/>
          <w:szCs w:val="22"/>
        </w:rPr>
        <w:t xml:space="preserve">and </w:t>
      </w:r>
      <w:r w:rsidR="0008752C">
        <w:rPr>
          <w:sz w:val="22"/>
          <w:szCs w:val="22"/>
        </w:rPr>
        <w:t>completion of candidacy procedures as per VMS policies</w:t>
      </w:r>
      <w:r w:rsidR="00ED7D93">
        <w:rPr>
          <w:sz w:val="22"/>
          <w:szCs w:val="22"/>
        </w:rPr>
        <w:t>)</w:t>
      </w:r>
      <w:r w:rsidR="00395F7B">
        <w:rPr>
          <w:sz w:val="22"/>
          <w:szCs w:val="22"/>
        </w:rPr>
        <w:t>.</w:t>
      </w:r>
    </w:p>
    <w:p w14:paraId="62BBCCDE" w14:textId="77777777" w:rsidR="00C85ACC" w:rsidRDefault="00C85ACC" w:rsidP="00126F91">
      <w:pPr>
        <w:pStyle w:val="Default"/>
        <w:ind w:left="720" w:hanging="720"/>
        <w:rPr>
          <w:sz w:val="22"/>
          <w:szCs w:val="22"/>
        </w:rPr>
      </w:pPr>
    </w:p>
    <w:p w14:paraId="209330AA" w14:textId="0FC691A6" w:rsidR="00B01595" w:rsidRDefault="00250BAA" w:rsidP="00126F9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="00643685">
        <w:rPr>
          <w:sz w:val="22"/>
          <w:szCs w:val="22"/>
        </w:rPr>
        <w:tab/>
      </w:r>
      <w:r w:rsidR="00D10CD8">
        <w:rPr>
          <w:sz w:val="22"/>
          <w:szCs w:val="22"/>
        </w:rPr>
        <w:t>Consistent with FGS policies, t</w:t>
      </w:r>
      <w:r w:rsidR="00B01595" w:rsidRPr="00D97082">
        <w:rPr>
          <w:sz w:val="22"/>
          <w:szCs w:val="22"/>
        </w:rPr>
        <w:t xml:space="preserve">o be eligible for </w:t>
      </w:r>
      <w:r w:rsidR="00653E18">
        <w:rPr>
          <w:sz w:val="22"/>
          <w:szCs w:val="22"/>
        </w:rPr>
        <w:t xml:space="preserve">awards </w:t>
      </w:r>
      <w:r w:rsidR="00B01595" w:rsidRPr="00D97082">
        <w:rPr>
          <w:sz w:val="22"/>
          <w:szCs w:val="22"/>
        </w:rPr>
        <w:t>offered by the VMS graduate program, or competitive university</w:t>
      </w:r>
      <w:r w:rsidR="00653E18">
        <w:rPr>
          <w:sz w:val="22"/>
          <w:szCs w:val="22"/>
        </w:rPr>
        <w:t xml:space="preserve"> awards</w:t>
      </w:r>
      <w:r w:rsidR="00B01595" w:rsidRPr="00D97082">
        <w:rPr>
          <w:sz w:val="22"/>
          <w:szCs w:val="22"/>
        </w:rPr>
        <w:t>, a student cannot hold paid employment for more than 612 hours a year while registered as a full-time student. This includes hours worked as a G</w:t>
      </w:r>
      <w:r w:rsidR="003D4D8F" w:rsidRPr="00D97082">
        <w:rPr>
          <w:sz w:val="22"/>
          <w:szCs w:val="22"/>
        </w:rPr>
        <w:t xml:space="preserve">raduate </w:t>
      </w:r>
      <w:r w:rsidR="006146A1" w:rsidRPr="00D97082">
        <w:rPr>
          <w:sz w:val="22"/>
          <w:szCs w:val="22"/>
        </w:rPr>
        <w:t>Assistant (Teaching) or Graduate Assistant (Non-Teaching)</w:t>
      </w:r>
      <w:r w:rsidR="00B01595" w:rsidRPr="00D97082">
        <w:rPr>
          <w:sz w:val="22"/>
          <w:szCs w:val="22"/>
        </w:rPr>
        <w:t>.</w:t>
      </w:r>
      <w:r w:rsidR="00B01595" w:rsidRPr="00B01595">
        <w:rPr>
          <w:sz w:val="22"/>
          <w:szCs w:val="22"/>
        </w:rPr>
        <w:t xml:space="preserve"> </w:t>
      </w:r>
    </w:p>
    <w:p w14:paraId="485A5269" w14:textId="59F2C759" w:rsidR="00F64C71" w:rsidRDefault="00643685" w:rsidP="00307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72A439" w14:textId="6E4A9C93" w:rsidR="00F64C71" w:rsidRDefault="00250BAA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</w:t>
      </w:r>
      <w:r w:rsidR="008B068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643685">
        <w:rPr>
          <w:sz w:val="22"/>
          <w:szCs w:val="22"/>
        </w:rPr>
        <w:tab/>
      </w:r>
      <w:r w:rsidR="00F64C71" w:rsidRPr="00F64C71">
        <w:rPr>
          <w:sz w:val="22"/>
          <w:szCs w:val="22"/>
        </w:rPr>
        <w:t xml:space="preserve">Students are </w:t>
      </w:r>
      <w:r w:rsidR="00C54DA0">
        <w:rPr>
          <w:sz w:val="22"/>
          <w:szCs w:val="22"/>
        </w:rPr>
        <w:t xml:space="preserve">expected </w:t>
      </w:r>
      <w:r w:rsidR="00F64C71" w:rsidRPr="00F64C71">
        <w:rPr>
          <w:sz w:val="22"/>
          <w:szCs w:val="22"/>
        </w:rPr>
        <w:t xml:space="preserve">to apply for </w:t>
      </w:r>
      <w:r w:rsidR="00D10CD8">
        <w:rPr>
          <w:sz w:val="22"/>
          <w:szCs w:val="22"/>
        </w:rPr>
        <w:t xml:space="preserve">teaching assistantships and </w:t>
      </w:r>
      <w:r w:rsidR="00653E18">
        <w:rPr>
          <w:sz w:val="22"/>
          <w:szCs w:val="22"/>
        </w:rPr>
        <w:t xml:space="preserve">awards </w:t>
      </w:r>
      <w:r w:rsidR="00F64C71" w:rsidRPr="00F64C71">
        <w:rPr>
          <w:sz w:val="22"/>
          <w:szCs w:val="22"/>
        </w:rPr>
        <w:t>for which they are eligible</w:t>
      </w:r>
      <w:r w:rsidR="00C54DA0">
        <w:rPr>
          <w:sz w:val="22"/>
          <w:szCs w:val="22"/>
        </w:rPr>
        <w:t>.</w:t>
      </w:r>
    </w:p>
    <w:p w14:paraId="47884A5A" w14:textId="77777777" w:rsidR="00C85ACC" w:rsidRDefault="00C85ACC" w:rsidP="00126F91">
      <w:pPr>
        <w:pStyle w:val="Default"/>
        <w:rPr>
          <w:sz w:val="22"/>
          <w:szCs w:val="22"/>
        </w:rPr>
      </w:pPr>
    </w:p>
    <w:p w14:paraId="529931CA" w14:textId="3A5D64DB" w:rsidR="00C85ACC" w:rsidRPr="00C85ACC" w:rsidRDefault="00D43A7F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1743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EC7C3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643685">
        <w:rPr>
          <w:sz w:val="22"/>
          <w:szCs w:val="22"/>
        </w:rPr>
        <w:tab/>
      </w:r>
      <w:r>
        <w:rPr>
          <w:sz w:val="22"/>
          <w:szCs w:val="22"/>
        </w:rPr>
        <w:t xml:space="preserve">Students are responsible for paying tuition and fees annually. </w:t>
      </w:r>
    </w:p>
    <w:p w14:paraId="6BF8BB14" w14:textId="77777777" w:rsidR="00D43A7F" w:rsidRDefault="00D43A7F" w:rsidP="00126F9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http://www.ucalgary.ca/pubs/calendar/grad/current/gs-fees-expenses.html. Students with funding from university sources can apply for a payment plan. https://www.ucalgary.ca/registrar/finances/tuition-fees/graduate-student-payment-plan </w:t>
      </w:r>
    </w:p>
    <w:p w14:paraId="49BEA7E0" w14:textId="77777777" w:rsidR="005B7F93" w:rsidRPr="00B01595" w:rsidRDefault="005B7F93" w:rsidP="00126F91">
      <w:pPr>
        <w:pStyle w:val="Default"/>
        <w:rPr>
          <w:sz w:val="22"/>
          <w:szCs w:val="22"/>
        </w:rPr>
      </w:pPr>
    </w:p>
    <w:p w14:paraId="323B061B" w14:textId="511E3272" w:rsidR="00B01595" w:rsidRDefault="006B6396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</w:t>
      </w:r>
      <w:r w:rsidR="00EC7C37">
        <w:rPr>
          <w:sz w:val="22"/>
          <w:szCs w:val="22"/>
        </w:rPr>
        <w:t>6</w:t>
      </w:r>
      <w:r w:rsidR="00B01595">
        <w:rPr>
          <w:sz w:val="22"/>
          <w:szCs w:val="22"/>
        </w:rPr>
        <w:t xml:space="preserve">. All of the following count toward meeting the student’s guaranteed funding amount </w:t>
      </w:r>
    </w:p>
    <w:p w14:paraId="39880115" w14:textId="77777777" w:rsidR="00A46AD8" w:rsidRDefault="00A46AD8" w:rsidP="00126F91">
      <w:pPr>
        <w:pStyle w:val="Default"/>
        <w:rPr>
          <w:sz w:val="22"/>
          <w:szCs w:val="22"/>
        </w:rPr>
      </w:pPr>
    </w:p>
    <w:p w14:paraId="1D660976" w14:textId="77777777" w:rsidR="00B01595" w:rsidRDefault="00B01595" w:rsidP="00126F9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Stipend/scholarship payment from supervisor’s research grant </w:t>
      </w:r>
    </w:p>
    <w:p w14:paraId="0600EE6D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6E85AA90" w14:textId="0F90D61E" w:rsidR="00B01595" w:rsidRDefault="00DA727F" w:rsidP="00126F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3A7F">
        <w:rPr>
          <w:sz w:val="22"/>
          <w:szCs w:val="22"/>
        </w:rPr>
        <w:t xml:space="preserve">Teaching assistantship </w:t>
      </w:r>
      <w:r w:rsidR="00910AB7">
        <w:rPr>
          <w:sz w:val="22"/>
          <w:szCs w:val="22"/>
        </w:rPr>
        <w:t>(</w:t>
      </w:r>
      <w:r w:rsidR="002F7A24">
        <w:rPr>
          <w:sz w:val="22"/>
          <w:szCs w:val="22"/>
        </w:rPr>
        <w:t>at the discretion of the supervisor</w:t>
      </w:r>
      <w:r w:rsidR="00910AB7">
        <w:rPr>
          <w:sz w:val="22"/>
          <w:szCs w:val="22"/>
        </w:rPr>
        <w:t>)</w:t>
      </w:r>
    </w:p>
    <w:p w14:paraId="6CC77195" w14:textId="77777777" w:rsidR="00C85ACC" w:rsidRPr="00D43A7F" w:rsidRDefault="00C85ACC" w:rsidP="002F7A24">
      <w:pPr>
        <w:pStyle w:val="Default"/>
        <w:ind w:left="720"/>
        <w:jc w:val="right"/>
        <w:rPr>
          <w:sz w:val="22"/>
          <w:szCs w:val="22"/>
        </w:rPr>
      </w:pPr>
    </w:p>
    <w:p w14:paraId="18ED4715" w14:textId="06C12530" w:rsidR="00B01595" w:rsidRDefault="00653E18" w:rsidP="00126F9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737EAA">
        <w:rPr>
          <w:sz w:val="22"/>
          <w:szCs w:val="22"/>
        </w:rPr>
        <w:t>wards</w:t>
      </w:r>
      <w:r w:rsidR="00223461" w:rsidRPr="00223461">
        <w:t xml:space="preserve"> </w:t>
      </w:r>
      <w:r>
        <w:rPr>
          <w:sz w:val="22"/>
          <w:szCs w:val="22"/>
        </w:rPr>
        <w:t>(</w:t>
      </w:r>
      <w:hyperlink r:id="rId8" w:history="1">
        <w:r w:rsidR="00223461" w:rsidRPr="00A542C0">
          <w:rPr>
            <w:rStyle w:val="Hyperlink"/>
            <w:sz w:val="22"/>
            <w:szCs w:val="22"/>
          </w:rPr>
          <w:t>https://grad.ucalgary.ca/awards/regulations-policies-and-guides/regulation</w:t>
        </w:r>
      </w:hyperlink>
      <w:r>
        <w:rPr>
          <w:sz w:val="22"/>
          <w:szCs w:val="22"/>
        </w:rPr>
        <w:t>)</w:t>
      </w:r>
    </w:p>
    <w:p w14:paraId="04E298EA" w14:textId="77777777" w:rsidR="005B7F93" w:rsidRPr="00B01595" w:rsidRDefault="005B7F93" w:rsidP="00126F91">
      <w:pPr>
        <w:pStyle w:val="Default"/>
        <w:rPr>
          <w:sz w:val="22"/>
          <w:szCs w:val="22"/>
        </w:rPr>
      </w:pPr>
    </w:p>
    <w:p w14:paraId="0410EC4E" w14:textId="0E822ADD" w:rsidR="00B01595" w:rsidRDefault="006B6396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</w:t>
      </w:r>
      <w:r w:rsidR="00EC7C37">
        <w:rPr>
          <w:sz w:val="22"/>
          <w:szCs w:val="22"/>
        </w:rPr>
        <w:t>7</w:t>
      </w:r>
      <w:r w:rsidR="00B01595">
        <w:rPr>
          <w:sz w:val="22"/>
          <w:szCs w:val="22"/>
        </w:rPr>
        <w:t xml:space="preserve">. Income from the following sources is </w:t>
      </w:r>
      <w:r w:rsidR="00B01595">
        <w:rPr>
          <w:i/>
          <w:iCs/>
          <w:sz w:val="22"/>
          <w:szCs w:val="22"/>
        </w:rPr>
        <w:t xml:space="preserve">not </w:t>
      </w:r>
      <w:r w:rsidR="00B01595">
        <w:rPr>
          <w:sz w:val="22"/>
          <w:szCs w:val="22"/>
        </w:rPr>
        <w:t xml:space="preserve">counted toward the student’s guaranteed funding amount </w:t>
      </w:r>
    </w:p>
    <w:p w14:paraId="550B9CB7" w14:textId="77777777" w:rsidR="00A46AD8" w:rsidRDefault="00A46AD8" w:rsidP="00126F91">
      <w:pPr>
        <w:pStyle w:val="Default"/>
        <w:rPr>
          <w:sz w:val="22"/>
          <w:szCs w:val="22"/>
        </w:rPr>
      </w:pPr>
    </w:p>
    <w:p w14:paraId="18460EA8" w14:textId="77777777" w:rsidR="00B01595" w:rsidRDefault="00B01595" w:rsidP="00126F9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assistantship</w:t>
      </w:r>
    </w:p>
    <w:p w14:paraId="63FA22D7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1F08BB38" w14:textId="77777777" w:rsidR="0099114B" w:rsidRDefault="0099114B" w:rsidP="00126F9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Visa differential fee reimbursed by the faculty </w:t>
      </w:r>
    </w:p>
    <w:p w14:paraId="0E17740A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34CB669F" w14:textId="66DCA1A6" w:rsidR="00C85ACC" w:rsidRDefault="00F154A6" w:rsidP="008E07A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E07A0">
        <w:rPr>
          <w:sz w:val="22"/>
          <w:szCs w:val="22"/>
        </w:rPr>
        <w:t>Training grants</w:t>
      </w:r>
      <w:r w:rsidR="00B42348" w:rsidRPr="008E07A0">
        <w:rPr>
          <w:sz w:val="22"/>
          <w:szCs w:val="22"/>
        </w:rPr>
        <w:t xml:space="preserve"> </w:t>
      </w:r>
      <w:r w:rsidR="008E07A0" w:rsidRPr="008E07A0">
        <w:rPr>
          <w:sz w:val="22"/>
          <w:szCs w:val="22"/>
        </w:rPr>
        <w:t xml:space="preserve">(for example, AEN </w:t>
      </w:r>
      <w:proofErr w:type="spellStart"/>
      <w:r w:rsidR="008E07A0" w:rsidRPr="008E07A0">
        <w:rPr>
          <w:sz w:val="22"/>
          <w:szCs w:val="22"/>
        </w:rPr>
        <w:t>trainining</w:t>
      </w:r>
      <w:proofErr w:type="spellEnd"/>
      <w:r w:rsidR="008E07A0" w:rsidRPr="008E07A0">
        <w:rPr>
          <w:sz w:val="22"/>
          <w:szCs w:val="22"/>
        </w:rPr>
        <w:t xml:space="preserve"> grants) for enhancing student experience </w:t>
      </w:r>
    </w:p>
    <w:p w14:paraId="6704186D" w14:textId="77777777" w:rsidR="00616041" w:rsidRPr="008E07A0" w:rsidRDefault="00616041" w:rsidP="00616041">
      <w:pPr>
        <w:pStyle w:val="Default"/>
        <w:ind w:left="360"/>
        <w:rPr>
          <w:sz w:val="22"/>
          <w:szCs w:val="22"/>
        </w:rPr>
      </w:pPr>
    </w:p>
    <w:p w14:paraId="7121C932" w14:textId="0B080EEA" w:rsidR="00F154A6" w:rsidRDefault="00F154A6" w:rsidP="00126F9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Internship awards</w:t>
      </w:r>
    </w:p>
    <w:p w14:paraId="7A2CA412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3421AD74" w14:textId="4F30DD55" w:rsidR="00F154A6" w:rsidRDefault="00F154A6" w:rsidP="00126F9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Conference travel awards</w:t>
      </w:r>
    </w:p>
    <w:p w14:paraId="1C805003" w14:textId="77777777" w:rsidR="00B01595" w:rsidRDefault="00B01595" w:rsidP="00126F91">
      <w:pPr>
        <w:pStyle w:val="Default"/>
        <w:rPr>
          <w:sz w:val="22"/>
          <w:szCs w:val="22"/>
        </w:rPr>
      </w:pPr>
    </w:p>
    <w:p w14:paraId="32054030" w14:textId="3F65A4C5" w:rsidR="00DA727F" w:rsidRDefault="006B6396" w:rsidP="00307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</w:t>
      </w:r>
      <w:r w:rsidR="00EC7C37">
        <w:rPr>
          <w:sz w:val="22"/>
          <w:szCs w:val="22"/>
        </w:rPr>
        <w:t>8</w:t>
      </w:r>
      <w:r w:rsidR="00B0159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Impact of winning an </w:t>
      </w:r>
      <w:r w:rsidR="00653E18">
        <w:rPr>
          <w:sz w:val="22"/>
          <w:szCs w:val="22"/>
        </w:rPr>
        <w:t xml:space="preserve">award </w:t>
      </w:r>
      <w:r>
        <w:rPr>
          <w:sz w:val="22"/>
          <w:szCs w:val="22"/>
        </w:rPr>
        <w:t>on student’s guaranteed funding</w:t>
      </w:r>
      <w:r w:rsidR="00E111E6">
        <w:rPr>
          <w:sz w:val="22"/>
          <w:szCs w:val="22"/>
        </w:rPr>
        <w:t>:</w:t>
      </w:r>
    </w:p>
    <w:p w14:paraId="57261F7C" w14:textId="77777777" w:rsidR="00A46AD8" w:rsidRDefault="00A46AD8" w:rsidP="00307387">
      <w:pPr>
        <w:pStyle w:val="Default"/>
        <w:rPr>
          <w:sz w:val="22"/>
          <w:szCs w:val="22"/>
        </w:rPr>
      </w:pPr>
    </w:p>
    <w:p w14:paraId="3B8DC253" w14:textId="746C18C3" w:rsidR="00C85ACC" w:rsidRDefault="00E111E6" w:rsidP="00C93806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85ACC">
        <w:rPr>
          <w:sz w:val="22"/>
          <w:szCs w:val="22"/>
        </w:rPr>
        <w:t xml:space="preserve">For </w:t>
      </w:r>
      <w:r w:rsidR="003D6216" w:rsidRPr="002F5077">
        <w:rPr>
          <w:sz w:val="22"/>
          <w:szCs w:val="22"/>
        </w:rPr>
        <w:t>cumulative</w:t>
      </w:r>
      <w:r w:rsidR="003D6216">
        <w:rPr>
          <w:sz w:val="22"/>
          <w:szCs w:val="22"/>
        </w:rPr>
        <w:t xml:space="preserve"> </w:t>
      </w:r>
      <w:r w:rsidRPr="00C85ACC">
        <w:rPr>
          <w:sz w:val="22"/>
          <w:szCs w:val="22"/>
        </w:rPr>
        <w:t xml:space="preserve">awards </w:t>
      </w:r>
      <w:r w:rsidR="003D6216">
        <w:rPr>
          <w:sz w:val="22"/>
          <w:szCs w:val="22"/>
        </w:rPr>
        <w:t xml:space="preserve">worth </w:t>
      </w:r>
      <w:r w:rsidR="00F24732">
        <w:rPr>
          <w:sz w:val="22"/>
          <w:szCs w:val="22"/>
        </w:rPr>
        <w:t xml:space="preserve">≤ </w:t>
      </w:r>
      <w:r w:rsidRPr="00C85ACC">
        <w:rPr>
          <w:sz w:val="22"/>
          <w:szCs w:val="22"/>
        </w:rPr>
        <w:t>$3000</w:t>
      </w:r>
      <w:r w:rsidRPr="008E07A0">
        <w:rPr>
          <w:sz w:val="22"/>
          <w:szCs w:val="22"/>
        </w:rPr>
        <w:t>,</w:t>
      </w:r>
      <w:r w:rsidRPr="00C85ACC">
        <w:rPr>
          <w:sz w:val="22"/>
          <w:szCs w:val="22"/>
        </w:rPr>
        <w:t xml:space="preserve"> funding as set out in the letter of admission will not be reduced</w:t>
      </w:r>
      <w:r w:rsidR="002F5077">
        <w:rPr>
          <w:sz w:val="22"/>
          <w:szCs w:val="22"/>
        </w:rPr>
        <w:t>.</w:t>
      </w:r>
    </w:p>
    <w:p w14:paraId="5BF681FF" w14:textId="77777777" w:rsidR="00C85ACC" w:rsidRDefault="00C85ACC" w:rsidP="00C85ACC">
      <w:pPr>
        <w:pStyle w:val="Default"/>
        <w:ind w:left="720"/>
        <w:rPr>
          <w:sz w:val="22"/>
          <w:szCs w:val="22"/>
        </w:rPr>
      </w:pPr>
    </w:p>
    <w:p w14:paraId="73F6794D" w14:textId="41B33285" w:rsidR="00E111E6" w:rsidRDefault="00E111E6" w:rsidP="00C93806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85ACC">
        <w:rPr>
          <w:sz w:val="22"/>
          <w:szCs w:val="22"/>
        </w:rPr>
        <w:t xml:space="preserve">For </w:t>
      </w:r>
      <w:r w:rsidR="00B921D1" w:rsidRPr="002F5077">
        <w:rPr>
          <w:sz w:val="22"/>
          <w:szCs w:val="22"/>
        </w:rPr>
        <w:t>cumulative</w:t>
      </w:r>
      <w:r w:rsidR="00B921D1">
        <w:rPr>
          <w:sz w:val="22"/>
          <w:szCs w:val="22"/>
        </w:rPr>
        <w:t xml:space="preserve"> </w:t>
      </w:r>
      <w:r w:rsidRPr="00C85ACC">
        <w:rPr>
          <w:sz w:val="22"/>
          <w:szCs w:val="22"/>
        </w:rPr>
        <w:t xml:space="preserve">awards worth </w:t>
      </w:r>
      <w:r w:rsidR="00956392">
        <w:rPr>
          <w:sz w:val="22"/>
          <w:szCs w:val="22"/>
        </w:rPr>
        <w:t>&gt;</w:t>
      </w:r>
      <w:r w:rsidR="00D40E1C">
        <w:rPr>
          <w:sz w:val="22"/>
          <w:szCs w:val="22"/>
        </w:rPr>
        <w:t xml:space="preserve"> $</w:t>
      </w:r>
      <w:r w:rsidRPr="00C85ACC">
        <w:rPr>
          <w:sz w:val="22"/>
          <w:szCs w:val="22"/>
        </w:rPr>
        <w:t xml:space="preserve">3000: </w:t>
      </w:r>
    </w:p>
    <w:p w14:paraId="15FD7738" w14:textId="77777777" w:rsidR="00D40E1C" w:rsidRPr="00C85ACC" w:rsidRDefault="00D40E1C" w:rsidP="00D40E1C">
      <w:pPr>
        <w:pStyle w:val="Default"/>
        <w:ind w:left="360"/>
        <w:rPr>
          <w:sz w:val="22"/>
          <w:szCs w:val="22"/>
        </w:rPr>
      </w:pPr>
    </w:p>
    <w:p w14:paraId="5CFFF566" w14:textId="23FAB14C" w:rsidR="00643685" w:rsidRDefault="00C54DA0" w:rsidP="00126F9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E111E6">
        <w:rPr>
          <w:sz w:val="22"/>
          <w:szCs w:val="22"/>
        </w:rPr>
        <w:t>Receive $3</w:t>
      </w:r>
      <w:r w:rsidR="001644CE" w:rsidRPr="00E111E6">
        <w:rPr>
          <w:sz w:val="22"/>
          <w:szCs w:val="22"/>
        </w:rPr>
        <w:t>000 as the threshold/base amount top-up to their Minimum Guaranteed Funding Amount.</w:t>
      </w:r>
    </w:p>
    <w:p w14:paraId="4B41A3B4" w14:textId="77777777" w:rsidR="00C85ACC" w:rsidRDefault="00C85ACC" w:rsidP="00C85ACC">
      <w:pPr>
        <w:pStyle w:val="Default"/>
        <w:ind w:left="1080"/>
        <w:rPr>
          <w:sz w:val="22"/>
          <w:szCs w:val="22"/>
        </w:rPr>
      </w:pPr>
    </w:p>
    <w:p w14:paraId="234AB085" w14:textId="21B2E4BE" w:rsidR="00DA727F" w:rsidRDefault="00DA727F" w:rsidP="00126F9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E111E6">
        <w:rPr>
          <w:sz w:val="22"/>
          <w:szCs w:val="22"/>
        </w:rPr>
        <w:t>Students will receive a</w:t>
      </w:r>
      <w:r w:rsidR="005B7F93" w:rsidRPr="00E111E6">
        <w:rPr>
          <w:sz w:val="22"/>
          <w:szCs w:val="22"/>
        </w:rPr>
        <w:t>n</w:t>
      </w:r>
      <w:r w:rsidRPr="00E111E6">
        <w:rPr>
          <w:sz w:val="22"/>
          <w:szCs w:val="22"/>
        </w:rPr>
        <w:t xml:space="preserve"> additional top-up [</w:t>
      </w:r>
      <w:r w:rsidR="005B7F93" w:rsidRPr="00E111E6">
        <w:rPr>
          <w:sz w:val="22"/>
          <w:szCs w:val="22"/>
        </w:rPr>
        <w:t xml:space="preserve">minimum of </w:t>
      </w:r>
      <w:r w:rsidR="001644CE" w:rsidRPr="00E111E6">
        <w:rPr>
          <w:sz w:val="22"/>
          <w:szCs w:val="22"/>
        </w:rPr>
        <w:t>10% of the award amount</w:t>
      </w:r>
      <w:r w:rsidR="00ED7D93" w:rsidRPr="00E111E6">
        <w:rPr>
          <w:sz w:val="22"/>
          <w:szCs w:val="22"/>
        </w:rPr>
        <w:t>,</w:t>
      </w:r>
      <w:r w:rsidR="001644CE" w:rsidRPr="00E111E6">
        <w:rPr>
          <w:sz w:val="22"/>
          <w:szCs w:val="22"/>
        </w:rPr>
        <w:t xml:space="preserve"> after subtracting the threshold/bas</w:t>
      </w:r>
      <w:r w:rsidR="00C54DA0" w:rsidRPr="00E111E6">
        <w:rPr>
          <w:sz w:val="22"/>
          <w:szCs w:val="22"/>
        </w:rPr>
        <w:t>e amount ($3</w:t>
      </w:r>
      <w:r w:rsidRPr="00E111E6">
        <w:rPr>
          <w:sz w:val="22"/>
          <w:szCs w:val="22"/>
        </w:rPr>
        <w:t>000) from the award value]</w:t>
      </w:r>
    </w:p>
    <w:p w14:paraId="3032013D" w14:textId="77777777" w:rsidR="00C85ACC" w:rsidRDefault="00C85ACC" w:rsidP="00C85ACC">
      <w:pPr>
        <w:pStyle w:val="Default"/>
        <w:ind w:left="1080"/>
        <w:rPr>
          <w:sz w:val="22"/>
          <w:szCs w:val="22"/>
        </w:rPr>
      </w:pPr>
    </w:p>
    <w:p w14:paraId="2FAE4C32" w14:textId="2C436E51" w:rsidR="00956392" w:rsidRPr="002F5077" w:rsidRDefault="00956392" w:rsidP="00956392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2F5077">
        <w:rPr>
          <w:sz w:val="22"/>
          <w:szCs w:val="22"/>
        </w:rPr>
        <w:t xml:space="preserve">When the cumulative award value is </w:t>
      </w:r>
      <w:r w:rsidR="00D40E1C" w:rsidRPr="002F5077">
        <w:rPr>
          <w:sz w:val="22"/>
          <w:szCs w:val="22"/>
        </w:rPr>
        <w:t>≥</w:t>
      </w:r>
      <w:r w:rsidRPr="002F5077">
        <w:rPr>
          <w:sz w:val="22"/>
          <w:szCs w:val="22"/>
        </w:rPr>
        <w:t xml:space="preserve"> $28,000 or </w:t>
      </w:r>
      <w:r w:rsidR="00D40E1C" w:rsidRPr="002F5077">
        <w:rPr>
          <w:sz w:val="22"/>
          <w:szCs w:val="22"/>
        </w:rPr>
        <w:t xml:space="preserve">≥ </w:t>
      </w:r>
      <w:r w:rsidRPr="002F5077">
        <w:rPr>
          <w:sz w:val="22"/>
          <w:szCs w:val="22"/>
        </w:rPr>
        <w:t xml:space="preserve">$29,000 for MSc and PhD students, respectively, supervisors may replace the Minimum Guaranteed Funding Amount with the award(s) </w:t>
      </w:r>
      <w:r w:rsidRPr="002F5077">
        <w:rPr>
          <w:sz w:val="22"/>
          <w:szCs w:val="22"/>
        </w:rPr>
        <w:lastRenderedPageBreak/>
        <w:t xml:space="preserve">for the duration </w:t>
      </w:r>
      <w:r w:rsidRPr="00DE64E5">
        <w:rPr>
          <w:sz w:val="22"/>
          <w:szCs w:val="22"/>
        </w:rPr>
        <w:t>of award period</w:t>
      </w:r>
      <w:r w:rsidRPr="002F5077">
        <w:rPr>
          <w:sz w:val="22"/>
          <w:szCs w:val="22"/>
        </w:rPr>
        <w:t xml:space="preserve">. If the Minimum Guaranteed Funding Amount offered at the time of admission is higher than these amounts, then the Minimum Guaranteed Funding Amount takes </w:t>
      </w:r>
      <w:proofErr w:type="spellStart"/>
      <w:r w:rsidRPr="002F5077">
        <w:rPr>
          <w:sz w:val="22"/>
          <w:szCs w:val="22"/>
        </w:rPr>
        <w:t>precendence</w:t>
      </w:r>
      <w:proofErr w:type="spellEnd"/>
      <w:r w:rsidRPr="002F5077">
        <w:rPr>
          <w:sz w:val="22"/>
          <w:szCs w:val="22"/>
        </w:rPr>
        <w:t xml:space="preserve"> over the award</w:t>
      </w:r>
      <w:r w:rsidR="00FD68BC" w:rsidRPr="002F5077">
        <w:rPr>
          <w:sz w:val="22"/>
          <w:szCs w:val="22"/>
        </w:rPr>
        <w:t xml:space="preserve"> value</w:t>
      </w:r>
      <w:r w:rsidRPr="002F5077">
        <w:rPr>
          <w:sz w:val="22"/>
          <w:szCs w:val="22"/>
        </w:rPr>
        <w:t xml:space="preserve">. </w:t>
      </w:r>
    </w:p>
    <w:p w14:paraId="4CADD5E2" w14:textId="77777777" w:rsidR="00956392" w:rsidRDefault="00956392" w:rsidP="00956392">
      <w:pPr>
        <w:pStyle w:val="Default"/>
        <w:ind w:left="1080"/>
        <w:rPr>
          <w:sz w:val="22"/>
          <w:szCs w:val="22"/>
        </w:rPr>
      </w:pPr>
    </w:p>
    <w:p w14:paraId="36AF8152" w14:textId="77777777" w:rsidR="00C85ACC" w:rsidRDefault="00C85ACC" w:rsidP="00C85ACC">
      <w:pPr>
        <w:pStyle w:val="Default"/>
        <w:ind w:left="1080"/>
        <w:rPr>
          <w:sz w:val="22"/>
          <w:szCs w:val="22"/>
        </w:rPr>
      </w:pPr>
    </w:p>
    <w:p w14:paraId="2BB48C07" w14:textId="1A62B547" w:rsidR="007F4BDA" w:rsidRPr="00F24732" w:rsidRDefault="00D26F13" w:rsidP="00F24732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E111E6">
        <w:rPr>
          <w:sz w:val="22"/>
          <w:szCs w:val="22"/>
        </w:rPr>
        <w:t xml:space="preserve">Exclusions: </w:t>
      </w:r>
      <w:r w:rsidRPr="00F24732">
        <w:rPr>
          <w:sz w:val="22"/>
          <w:szCs w:val="22"/>
        </w:rPr>
        <w:t xml:space="preserve">TOR for specific </w:t>
      </w:r>
      <w:r w:rsidR="00F154A6" w:rsidRPr="00F24732">
        <w:rPr>
          <w:sz w:val="22"/>
          <w:szCs w:val="22"/>
        </w:rPr>
        <w:t xml:space="preserve">awards </w:t>
      </w:r>
      <w:r w:rsidRPr="00F24732">
        <w:rPr>
          <w:sz w:val="22"/>
          <w:szCs w:val="22"/>
        </w:rPr>
        <w:t>must be respected</w:t>
      </w:r>
      <w:r w:rsidR="007F4BDA" w:rsidRPr="00F24732">
        <w:rPr>
          <w:sz w:val="22"/>
          <w:szCs w:val="22"/>
        </w:rPr>
        <w:t xml:space="preserve">. </w:t>
      </w:r>
    </w:p>
    <w:p w14:paraId="2BF2E5A0" w14:textId="77777777" w:rsidR="00C85ACC" w:rsidRDefault="00C85ACC" w:rsidP="00126F91">
      <w:pPr>
        <w:pStyle w:val="Default"/>
        <w:rPr>
          <w:sz w:val="22"/>
          <w:szCs w:val="22"/>
        </w:rPr>
      </w:pPr>
    </w:p>
    <w:p w14:paraId="205FEA38" w14:textId="77777777" w:rsidR="00C85ACC" w:rsidRDefault="00C85ACC" w:rsidP="00126F91">
      <w:pPr>
        <w:pStyle w:val="Default"/>
        <w:rPr>
          <w:sz w:val="22"/>
          <w:szCs w:val="22"/>
        </w:rPr>
      </w:pPr>
    </w:p>
    <w:p w14:paraId="1AA91793" w14:textId="77777777" w:rsidR="00C85ACC" w:rsidRDefault="00C85ACC" w:rsidP="00126F91">
      <w:pPr>
        <w:pStyle w:val="Default"/>
        <w:rPr>
          <w:sz w:val="22"/>
          <w:szCs w:val="22"/>
        </w:rPr>
      </w:pPr>
    </w:p>
    <w:p w14:paraId="23E65481" w14:textId="77777777" w:rsidR="00E111E6" w:rsidRDefault="00E111E6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History</w:t>
      </w:r>
    </w:p>
    <w:p w14:paraId="4333094A" w14:textId="123DB650" w:rsidR="001644CE" w:rsidRDefault="001644CE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Drafted by</w:t>
      </w:r>
      <w:r w:rsidR="00E42C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Thundathil</w:t>
      </w:r>
      <w:proofErr w:type="spellEnd"/>
      <w:r>
        <w:rPr>
          <w:sz w:val="22"/>
          <w:szCs w:val="22"/>
        </w:rPr>
        <w:t>, November 14, 2018</w:t>
      </w:r>
    </w:p>
    <w:p w14:paraId="22FEA6C8" w14:textId="1E51152F" w:rsidR="00E111E6" w:rsidRDefault="00D460DC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Approved by the GEC:</w:t>
      </w:r>
      <w:r w:rsidR="00C54DA0">
        <w:rPr>
          <w:sz w:val="22"/>
          <w:szCs w:val="22"/>
        </w:rPr>
        <w:t xml:space="preserve"> January 9, 2019</w:t>
      </w:r>
    </w:p>
    <w:p w14:paraId="77B81D1B" w14:textId="58894F5E" w:rsidR="00C54DA0" w:rsidRDefault="00C54DA0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Approved by the L</w:t>
      </w:r>
      <w:r w:rsidR="004F0F6C">
        <w:rPr>
          <w:sz w:val="22"/>
          <w:szCs w:val="22"/>
        </w:rPr>
        <w:t xml:space="preserve">eadership </w:t>
      </w:r>
      <w:r>
        <w:rPr>
          <w:sz w:val="22"/>
          <w:szCs w:val="22"/>
        </w:rPr>
        <w:t>C</w:t>
      </w:r>
      <w:r w:rsidR="004F0F6C">
        <w:rPr>
          <w:sz w:val="22"/>
          <w:szCs w:val="22"/>
        </w:rPr>
        <w:t>ouncil</w:t>
      </w:r>
      <w:r w:rsidR="00D460DC">
        <w:rPr>
          <w:sz w:val="22"/>
          <w:szCs w:val="22"/>
        </w:rPr>
        <w:t xml:space="preserve">: </w:t>
      </w:r>
      <w:r w:rsidR="002F5077">
        <w:rPr>
          <w:sz w:val="22"/>
          <w:szCs w:val="22"/>
        </w:rPr>
        <w:t>February 19, 2019</w:t>
      </w:r>
    </w:p>
    <w:p w14:paraId="17F837D3" w14:textId="6903CA1D" w:rsidR="001644CE" w:rsidRDefault="00D460DC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Approved by the Faculty Council: </w:t>
      </w:r>
      <w:r w:rsidR="002F7A24">
        <w:rPr>
          <w:sz w:val="22"/>
          <w:szCs w:val="22"/>
        </w:rPr>
        <w:t>March 5, 2019</w:t>
      </w:r>
    </w:p>
    <w:p w14:paraId="65D73157" w14:textId="2DADCDD4" w:rsidR="00184780" w:rsidRDefault="00184780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Approved by the Faculty of Graduate Studies:</w:t>
      </w:r>
      <w:r w:rsidR="00C85ADD">
        <w:rPr>
          <w:sz w:val="22"/>
          <w:szCs w:val="22"/>
        </w:rPr>
        <w:t xml:space="preserve"> April 26</w:t>
      </w:r>
      <w:r>
        <w:rPr>
          <w:sz w:val="22"/>
          <w:szCs w:val="22"/>
        </w:rPr>
        <w:t>, 2019</w:t>
      </w:r>
      <w:r w:rsidR="00E42CDB">
        <w:rPr>
          <w:sz w:val="22"/>
          <w:szCs w:val="22"/>
        </w:rPr>
        <w:t xml:space="preserve"> </w:t>
      </w:r>
    </w:p>
    <w:p w14:paraId="7FBE03D8" w14:textId="079F2C53" w:rsidR="00E42CDB" w:rsidRDefault="00E42CDB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Revised by J. </w:t>
      </w:r>
      <w:proofErr w:type="spellStart"/>
      <w:proofErr w:type="gramStart"/>
      <w:r>
        <w:rPr>
          <w:sz w:val="22"/>
          <w:szCs w:val="22"/>
        </w:rPr>
        <w:t>Thundathil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January 11, 2022 </w:t>
      </w:r>
    </w:p>
    <w:p w14:paraId="00742746" w14:textId="2BD82C8F" w:rsidR="005B7031" w:rsidRDefault="005B7031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Approved by the GEC: January 19, 2022</w:t>
      </w:r>
    </w:p>
    <w:p w14:paraId="1F3234BB" w14:textId="411FEFA7" w:rsidR="00433FB1" w:rsidRDefault="00433FB1" w:rsidP="00126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Approved by the UCVM Faculty Council: February 3, 2022</w:t>
      </w:r>
    </w:p>
    <w:sectPr w:rsidR="00433FB1" w:rsidSect="001F6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3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CC5C" w14:textId="77777777" w:rsidR="00095E95" w:rsidRDefault="00095E95" w:rsidP="00817431">
      <w:r>
        <w:separator/>
      </w:r>
    </w:p>
  </w:endnote>
  <w:endnote w:type="continuationSeparator" w:id="0">
    <w:p w14:paraId="4B30F45A" w14:textId="77777777" w:rsidR="00095E95" w:rsidRDefault="00095E95" w:rsidP="0081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89C" w14:textId="77777777" w:rsidR="00817431" w:rsidRDefault="00817431" w:rsidP="00E029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6BAF0" w14:textId="77777777" w:rsidR="00817431" w:rsidRDefault="00817431" w:rsidP="00817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168E" w14:textId="291A50C3" w:rsidR="00817431" w:rsidRDefault="00817431" w:rsidP="00E029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1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79F991" w14:textId="77777777" w:rsidR="00817431" w:rsidRDefault="00817431" w:rsidP="008174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3C31" w14:textId="77777777" w:rsidR="0053009D" w:rsidRDefault="0053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65C0" w14:textId="77777777" w:rsidR="00095E95" w:rsidRDefault="00095E95" w:rsidP="00817431">
      <w:r>
        <w:separator/>
      </w:r>
    </w:p>
  </w:footnote>
  <w:footnote w:type="continuationSeparator" w:id="0">
    <w:p w14:paraId="7159E91F" w14:textId="77777777" w:rsidR="00095E95" w:rsidRDefault="00095E95" w:rsidP="0081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A245" w14:textId="324D6342" w:rsidR="0053009D" w:rsidRDefault="00530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CE24" w14:textId="41108865" w:rsidR="0053009D" w:rsidRDefault="0053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4D0B" w14:textId="5DE5A946" w:rsidR="0053009D" w:rsidRDefault="00530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D05"/>
    <w:multiLevelType w:val="hybridMultilevel"/>
    <w:tmpl w:val="11043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EFB"/>
    <w:multiLevelType w:val="hybridMultilevel"/>
    <w:tmpl w:val="BCCC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AB6"/>
    <w:multiLevelType w:val="hybridMultilevel"/>
    <w:tmpl w:val="49AC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73ED"/>
    <w:multiLevelType w:val="hybridMultilevel"/>
    <w:tmpl w:val="2892C594"/>
    <w:lvl w:ilvl="0" w:tplc="42F2974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7A164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0CCB0A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FAC4D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1A212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5C138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161A9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5EAEC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01A2FA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F7D55EC"/>
    <w:multiLevelType w:val="hybridMultilevel"/>
    <w:tmpl w:val="1486C8D4"/>
    <w:lvl w:ilvl="0" w:tplc="1C567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22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C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2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E0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2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AE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AE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EA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C9"/>
    <w:multiLevelType w:val="hybridMultilevel"/>
    <w:tmpl w:val="24727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09BA"/>
    <w:multiLevelType w:val="hybridMultilevel"/>
    <w:tmpl w:val="ADF4E0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17065"/>
    <w:multiLevelType w:val="hybridMultilevel"/>
    <w:tmpl w:val="39CEE0BC"/>
    <w:lvl w:ilvl="0" w:tplc="380A5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4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5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82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4A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4A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23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E9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B59"/>
    <w:multiLevelType w:val="hybridMultilevel"/>
    <w:tmpl w:val="EE3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859"/>
    <w:multiLevelType w:val="hybridMultilevel"/>
    <w:tmpl w:val="735CF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2762"/>
    <w:multiLevelType w:val="multilevel"/>
    <w:tmpl w:val="04B2A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A4BF4"/>
    <w:multiLevelType w:val="hybridMultilevel"/>
    <w:tmpl w:val="24F2C05A"/>
    <w:lvl w:ilvl="0" w:tplc="42F29742">
      <w:start w:val="1"/>
      <w:numFmt w:val="bullet"/>
      <w:lvlText w:val="—"/>
      <w:lvlJc w:val="left"/>
      <w:pPr>
        <w:tabs>
          <w:tab w:val="num" w:pos="770"/>
        </w:tabs>
        <w:ind w:left="7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1976044"/>
    <w:multiLevelType w:val="hybridMultilevel"/>
    <w:tmpl w:val="D762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85468"/>
    <w:multiLevelType w:val="hybridMultilevel"/>
    <w:tmpl w:val="B2C49AE8"/>
    <w:lvl w:ilvl="0" w:tplc="1F521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703A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C05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8C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3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B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5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6E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6E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641A"/>
    <w:multiLevelType w:val="hybridMultilevel"/>
    <w:tmpl w:val="07E66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51E1"/>
    <w:multiLevelType w:val="hybridMultilevel"/>
    <w:tmpl w:val="F8BAC3B2"/>
    <w:lvl w:ilvl="0" w:tplc="3E604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8FF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6B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3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A5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81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24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40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0E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6672"/>
    <w:multiLevelType w:val="hybridMultilevel"/>
    <w:tmpl w:val="D9E019F8"/>
    <w:lvl w:ilvl="0" w:tplc="42F29742">
      <w:start w:val="1"/>
      <w:numFmt w:val="bullet"/>
      <w:lvlText w:val="—"/>
      <w:lvlJc w:val="left"/>
      <w:pPr>
        <w:tabs>
          <w:tab w:val="num" w:pos="770"/>
        </w:tabs>
        <w:ind w:left="7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95"/>
    <w:rsid w:val="00001FEF"/>
    <w:rsid w:val="00013331"/>
    <w:rsid w:val="00024484"/>
    <w:rsid w:val="000355E2"/>
    <w:rsid w:val="0007132A"/>
    <w:rsid w:val="0008752C"/>
    <w:rsid w:val="00095E95"/>
    <w:rsid w:val="00095EB4"/>
    <w:rsid w:val="000A381F"/>
    <w:rsid w:val="000A7814"/>
    <w:rsid w:val="00120CEC"/>
    <w:rsid w:val="00126F91"/>
    <w:rsid w:val="0015715E"/>
    <w:rsid w:val="001644CE"/>
    <w:rsid w:val="00182904"/>
    <w:rsid w:val="00184780"/>
    <w:rsid w:val="001938E5"/>
    <w:rsid w:val="00194A05"/>
    <w:rsid w:val="001A5596"/>
    <w:rsid w:val="001D2D93"/>
    <w:rsid w:val="001F61CD"/>
    <w:rsid w:val="00214C36"/>
    <w:rsid w:val="00223461"/>
    <w:rsid w:val="00250BAA"/>
    <w:rsid w:val="0028065B"/>
    <w:rsid w:val="00281AC1"/>
    <w:rsid w:val="002B1504"/>
    <w:rsid w:val="002E2EC4"/>
    <w:rsid w:val="002F4A12"/>
    <w:rsid w:val="002F5077"/>
    <w:rsid w:val="002F7A24"/>
    <w:rsid w:val="00302CF3"/>
    <w:rsid w:val="003030F4"/>
    <w:rsid w:val="00307387"/>
    <w:rsid w:val="00364203"/>
    <w:rsid w:val="00395F7B"/>
    <w:rsid w:val="003A3CA1"/>
    <w:rsid w:val="003A48EC"/>
    <w:rsid w:val="003D4D8F"/>
    <w:rsid w:val="003D6216"/>
    <w:rsid w:val="003F2FE6"/>
    <w:rsid w:val="004308AA"/>
    <w:rsid w:val="00431F35"/>
    <w:rsid w:val="00433FB1"/>
    <w:rsid w:val="00461CC9"/>
    <w:rsid w:val="00472EB5"/>
    <w:rsid w:val="004974D9"/>
    <w:rsid w:val="004A39C4"/>
    <w:rsid w:val="004B7A5C"/>
    <w:rsid w:val="004C61EA"/>
    <w:rsid w:val="004D4075"/>
    <w:rsid w:val="004E56D5"/>
    <w:rsid w:val="004F0F6C"/>
    <w:rsid w:val="005206B7"/>
    <w:rsid w:val="005225E6"/>
    <w:rsid w:val="0053009D"/>
    <w:rsid w:val="005431D4"/>
    <w:rsid w:val="00566C46"/>
    <w:rsid w:val="005B7031"/>
    <w:rsid w:val="005B7F93"/>
    <w:rsid w:val="005E5BA4"/>
    <w:rsid w:val="006146A1"/>
    <w:rsid w:val="00616041"/>
    <w:rsid w:val="00632257"/>
    <w:rsid w:val="00643685"/>
    <w:rsid w:val="00653E18"/>
    <w:rsid w:val="006A6519"/>
    <w:rsid w:val="006B05EF"/>
    <w:rsid w:val="006B6396"/>
    <w:rsid w:val="00714466"/>
    <w:rsid w:val="00737EAA"/>
    <w:rsid w:val="00740796"/>
    <w:rsid w:val="00741770"/>
    <w:rsid w:val="00777881"/>
    <w:rsid w:val="00782853"/>
    <w:rsid w:val="007C51CC"/>
    <w:rsid w:val="007F4BDA"/>
    <w:rsid w:val="007F5D54"/>
    <w:rsid w:val="00800FA4"/>
    <w:rsid w:val="00816B38"/>
    <w:rsid w:val="00817431"/>
    <w:rsid w:val="008505F5"/>
    <w:rsid w:val="00897980"/>
    <w:rsid w:val="008A23F6"/>
    <w:rsid w:val="008A4AA4"/>
    <w:rsid w:val="008B0684"/>
    <w:rsid w:val="008D13EE"/>
    <w:rsid w:val="008E07A0"/>
    <w:rsid w:val="008F6062"/>
    <w:rsid w:val="008F653E"/>
    <w:rsid w:val="00910AB7"/>
    <w:rsid w:val="00956392"/>
    <w:rsid w:val="0099114B"/>
    <w:rsid w:val="009B44CA"/>
    <w:rsid w:val="009C4D31"/>
    <w:rsid w:val="009D0487"/>
    <w:rsid w:val="009E12FA"/>
    <w:rsid w:val="00A40D05"/>
    <w:rsid w:val="00A46AD8"/>
    <w:rsid w:val="00A51CA2"/>
    <w:rsid w:val="00A57679"/>
    <w:rsid w:val="00A60A06"/>
    <w:rsid w:val="00A94E3D"/>
    <w:rsid w:val="00AA495A"/>
    <w:rsid w:val="00AC3881"/>
    <w:rsid w:val="00B01595"/>
    <w:rsid w:val="00B42348"/>
    <w:rsid w:val="00B81142"/>
    <w:rsid w:val="00B921D1"/>
    <w:rsid w:val="00BC05BC"/>
    <w:rsid w:val="00C14810"/>
    <w:rsid w:val="00C42E9F"/>
    <w:rsid w:val="00C52CD4"/>
    <w:rsid w:val="00C5367E"/>
    <w:rsid w:val="00C54DA0"/>
    <w:rsid w:val="00C6675B"/>
    <w:rsid w:val="00C85ACC"/>
    <w:rsid w:val="00C85ADD"/>
    <w:rsid w:val="00C92A08"/>
    <w:rsid w:val="00D060A3"/>
    <w:rsid w:val="00D10CD8"/>
    <w:rsid w:val="00D26F13"/>
    <w:rsid w:val="00D37E0B"/>
    <w:rsid w:val="00D40E1C"/>
    <w:rsid w:val="00D43A7F"/>
    <w:rsid w:val="00D460DC"/>
    <w:rsid w:val="00D97082"/>
    <w:rsid w:val="00DA2E03"/>
    <w:rsid w:val="00DA53C7"/>
    <w:rsid w:val="00DA727F"/>
    <w:rsid w:val="00DD725D"/>
    <w:rsid w:val="00DE01D2"/>
    <w:rsid w:val="00DE64E5"/>
    <w:rsid w:val="00DF6EAB"/>
    <w:rsid w:val="00E10FDC"/>
    <w:rsid w:val="00E111E6"/>
    <w:rsid w:val="00E34E20"/>
    <w:rsid w:val="00E42CDB"/>
    <w:rsid w:val="00E65FC7"/>
    <w:rsid w:val="00EC7C37"/>
    <w:rsid w:val="00ED7D93"/>
    <w:rsid w:val="00EE2CA9"/>
    <w:rsid w:val="00EF4CEC"/>
    <w:rsid w:val="00F10ACF"/>
    <w:rsid w:val="00F154A6"/>
    <w:rsid w:val="00F24732"/>
    <w:rsid w:val="00F3212C"/>
    <w:rsid w:val="00F466E1"/>
    <w:rsid w:val="00F64C71"/>
    <w:rsid w:val="00F70D8F"/>
    <w:rsid w:val="00FA5019"/>
    <w:rsid w:val="00FB4F83"/>
    <w:rsid w:val="00FB656C"/>
    <w:rsid w:val="00FC20C6"/>
    <w:rsid w:val="00FD68BC"/>
    <w:rsid w:val="00FE5E96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E9E0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59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B7F93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174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431"/>
  </w:style>
  <w:style w:type="character" w:styleId="PageNumber">
    <w:name w:val="page number"/>
    <w:basedOn w:val="DefaultParagraphFont"/>
    <w:uiPriority w:val="99"/>
    <w:semiHidden/>
    <w:unhideWhenUsed/>
    <w:rsid w:val="00817431"/>
  </w:style>
  <w:style w:type="paragraph" w:styleId="Header">
    <w:name w:val="header"/>
    <w:basedOn w:val="Normal"/>
    <w:link w:val="HeaderChar"/>
    <w:uiPriority w:val="99"/>
    <w:unhideWhenUsed/>
    <w:rsid w:val="005300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009D"/>
  </w:style>
  <w:style w:type="paragraph" w:styleId="BalloonText">
    <w:name w:val="Balloon Text"/>
    <w:basedOn w:val="Normal"/>
    <w:link w:val="BalloonTextChar"/>
    <w:uiPriority w:val="99"/>
    <w:semiHidden/>
    <w:unhideWhenUsed/>
    <w:rsid w:val="004B7A5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4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46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54A6"/>
  </w:style>
  <w:style w:type="paragraph" w:styleId="Revision">
    <w:name w:val="Revision"/>
    <w:hidden/>
    <w:uiPriority w:val="99"/>
    <w:semiHidden/>
    <w:rsid w:val="00E42C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4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algary.ca/awards/regulations-policies-and-guides/regul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Jacob Thundathil</cp:lastModifiedBy>
  <cp:revision>2</cp:revision>
  <cp:lastPrinted>2019-02-14T22:35:00Z</cp:lastPrinted>
  <dcterms:created xsi:type="dcterms:W3CDTF">2022-02-10T20:36:00Z</dcterms:created>
  <dcterms:modified xsi:type="dcterms:W3CDTF">2022-02-10T20:36:00Z</dcterms:modified>
</cp:coreProperties>
</file>